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00" w:rsidRPr="00D7096C" w:rsidRDefault="00847700" w:rsidP="00847700">
      <w:pPr>
        <w:jc w:val="both"/>
        <w:rPr>
          <w:rFonts w:ascii="Times New Roman" w:hAnsi="Times New Roman" w:cs="Times New Roman"/>
          <w:sz w:val="24"/>
          <w:szCs w:val="24"/>
        </w:rPr>
      </w:pPr>
    </w:p>
    <w:p w:rsidR="00847700" w:rsidRPr="00847700" w:rsidRDefault="00847700" w:rsidP="00847700">
      <w:pPr>
        <w:pStyle w:val="Heading1"/>
        <w:rPr>
          <w:lang w:val="en-GB"/>
        </w:rPr>
      </w:pPr>
      <w:r w:rsidRPr="005B7549">
        <w:rPr>
          <w:lang w:val="en-GB"/>
        </w:rPr>
        <w:t>Introduction</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This report (the ‘Report’) provides a summary of the analysis made in the course of our best execution monitoring, together with a list of the top five brokers used to execute retail and professional client orders in each class of financial instrument, as provided for in Commission Delegated Regulation (EU) 2017/576 of 8 June 2016 supplementing Directive 2014/65/EU (“MiFID II”).</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This Report is prepared having regard to the following business specifics of Veles International Limited (‘VIL’ or ‘we’) </w:t>
      </w:r>
      <w:r w:rsidRPr="00847700">
        <w:rPr>
          <w:rFonts w:ascii="Times New Roman" w:hAnsi="Times New Roman" w:cs="Times New Roman"/>
          <w:sz w:val="24"/>
          <w:szCs w:val="24"/>
          <w:lang w:val="en-US"/>
        </w:rPr>
        <w:t>that</w:t>
      </w:r>
      <w:r w:rsidRPr="00847700">
        <w:rPr>
          <w:rFonts w:ascii="Times New Roman" w:hAnsi="Times New Roman" w:cs="Times New Roman"/>
          <w:sz w:val="24"/>
          <w:szCs w:val="24"/>
          <w:lang w:val="en-GB"/>
        </w:rPr>
        <w:t xml:space="preserve"> have not changed in 201</w:t>
      </w:r>
      <w:r w:rsidR="00906FC3">
        <w:rPr>
          <w:rFonts w:ascii="Times New Roman" w:hAnsi="Times New Roman" w:cs="Times New Roman"/>
          <w:sz w:val="24"/>
          <w:szCs w:val="24"/>
          <w:lang w:val="en-GB"/>
        </w:rPr>
        <w:t>8</w:t>
      </w:r>
      <w:r w:rsidRPr="00847700">
        <w:rPr>
          <w:rFonts w:ascii="Times New Roman" w:hAnsi="Times New Roman" w:cs="Times New Roman"/>
          <w:sz w:val="24"/>
          <w:szCs w:val="24"/>
          <w:lang w:val="en-GB"/>
        </w:rPr>
        <w:t>:</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We are neither a participant of any trading venue </w:t>
      </w:r>
      <w:r w:rsidRPr="00847700">
        <w:rPr>
          <w:rFonts w:ascii="Times New Roman" w:hAnsi="Times New Roman" w:cs="Times New Roman"/>
          <w:sz w:val="24"/>
          <w:szCs w:val="24"/>
          <w:lang w:val="en-US"/>
        </w:rPr>
        <w:t>nor</w:t>
      </w:r>
      <w:r w:rsidRPr="00847700">
        <w:rPr>
          <w:rFonts w:ascii="Times New Roman" w:hAnsi="Times New Roman" w:cs="Times New Roman"/>
          <w:sz w:val="24"/>
          <w:szCs w:val="24"/>
          <w:lang w:val="en-GB"/>
        </w:rPr>
        <w:t xml:space="preserve"> acting ourselves as a systematic </w:t>
      </w:r>
      <w:proofErr w:type="spellStart"/>
      <w:r w:rsidRPr="00847700">
        <w:rPr>
          <w:rFonts w:ascii="Times New Roman" w:hAnsi="Times New Roman" w:cs="Times New Roman"/>
          <w:sz w:val="24"/>
          <w:szCs w:val="24"/>
          <w:lang w:val="en-GB"/>
        </w:rPr>
        <w:t>internaliser</w:t>
      </w:r>
      <w:proofErr w:type="spellEnd"/>
      <w:r w:rsidRPr="00847700">
        <w:rPr>
          <w:rFonts w:ascii="Times New Roman" w:hAnsi="Times New Roman" w:cs="Times New Roman"/>
          <w:sz w:val="24"/>
          <w:szCs w:val="24"/>
          <w:lang w:val="en-GB"/>
        </w:rPr>
        <w:t xml:space="preserve"> or a liquidity provider. We therefore always transmit client orders for execution to our </w:t>
      </w:r>
      <w:r w:rsidRPr="00847700">
        <w:rPr>
          <w:rFonts w:ascii="Times New Roman" w:hAnsi="Times New Roman" w:cs="Times New Roman"/>
          <w:i/>
          <w:sz w:val="24"/>
          <w:szCs w:val="24"/>
          <w:lang w:val="en-GB"/>
        </w:rPr>
        <w:t>brokers</w:t>
      </w:r>
      <w:r w:rsidRPr="00847700">
        <w:rPr>
          <w:rFonts w:ascii="Times New Roman" w:hAnsi="Times New Roman" w:cs="Times New Roman"/>
          <w:sz w:val="24"/>
          <w:szCs w:val="24"/>
          <w:lang w:val="en-GB"/>
        </w:rPr>
        <w:t xml:space="preserve"> or, with respect to certain financial instruments, execute clients order with OTC counterparties acting as a liquidity provider;</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providing clients with investment services predominantly on local (third country) financial markets, such as Russia, where there is only limited number of execution venues;</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We select our brokers on the basis of their high reliability (including good regulatory record and the history of seamless mutual cooperation), vast experience and reputation on the respective financial market, sound financial position and reasonable cost of services (fees). We also take into account the execution factors pertinent to particular classes of financial instrument, as specified below in this Report. To this effect we pay due attention to the Best Execution Policies provided to us by our brokers. The complete list of brokers that may be used by VIL is outlined in the Annex 2 of our Order Execution Policy (</w:t>
      </w:r>
      <w:hyperlink r:id="rId7"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w:t>
      </w:r>
      <w:r w:rsidRPr="00847700">
        <w:rPr>
          <w:rFonts w:ascii="Times New Roman" w:hAnsi="Times New Roman" w:cs="Times New Roman"/>
          <w:sz w:val="24"/>
          <w:szCs w:val="24"/>
          <w:lang w:val="en-US"/>
        </w:rPr>
        <w:t>;</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servicing clients who have substantial skills and knowledge in the field of investments on the markets mentioned above.</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It follows from the considerations listed above that the information on quality of VIL’s execution of client orders has certain features common to different classes of financial instruments as presented below in the section ‘</w:t>
      </w:r>
      <w:r w:rsidRPr="00847700">
        <w:rPr>
          <w:rFonts w:ascii="Times New Roman" w:hAnsi="Times New Roman" w:cs="Times New Roman"/>
          <w:i/>
          <w:sz w:val="24"/>
          <w:szCs w:val="24"/>
          <w:lang w:val="en-GB"/>
        </w:rPr>
        <w:t>Summary Analysis. Common Part’</w:t>
      </w:r>
      <w:r w:rsidRPr="00847700">
        <w:rPr>
          <w:rFonts w:ascii="Times New Roman" w:hAnsi="Times New Roman" w:cs="Times New Roman"/>
          <w:sz w:val="24"/>
          <w:szCs w:val="24"/>
          <w:lang w:val="en-GB"/>
        </w:rPr>
        <w:t>. The information on the particular instrument execution factors taken into account in the process of selection of a broker, as well as the statistics related to the top 5 venues (liquidity providers) used in 201</w:t>
      </w:r>
      <w:r w:rsidR="00906FC3">
        <w:rPr>
          <w:rFonts w:ascii="Times New Roman" w:hAnsi="Times New Roman" w:cs="Times New Roman"/>
          <w:sz w:val="24"/>
          <w:szCs w:val="24"/>
          <w:lang w:val="en-GB"/>
        </w:rPr>
        <w:t>8</w:t>
      </w:r>
      <w:r w:rsidRPr="00847700">
        <w:rPr>
          <w:rFonts w:ascii="Times New Roman" w:hAnsi="Times New Roman" w:cs="Times New Roman"/>
          <w:sz w:val="24"/>
          <w:szCs w:val="24"/>
          <w:lang w:val="en-GB"/>
        </w:rPr>
        <w:t>, is presented in the relevant section/table ‘</w:t>
      </w:r>
      <w:r w:rsidRPr="00847700">
        <w:rPr>
          <w:rFonts w:ascii="Times New Roman" w:hAnsi="Times New Roman" w:cs="Times New Roman"/>
          <w:i/>
          <w:sz w:val="24"/>
          <w:szCs w:val="24"/>
          <w:lang w:val="en-GB"/>
        </w:rPr>
        <w:t>Summary Analysis. {Class of Financial instrument}</w:t>
      </w:r>
      <w:r w:rsidRPr="00847700">
        <w:rPr>
          <w:rFonts w:ascii="Times New Roman" w:hAnsi="Times New Roman" w:cs="Times New Roman"/>
          <w:sz w:val="24"/>
          <w:szCs w:val="24"/>
          <w:lang w:val="en-GB"/>
        </w:rPr>
        <w:t xml:space="preserve">’. </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US"/>
        </w:rPr>
        <w:t xml:space="preserve">Since we do not enter orders into order books of execution venues ourselves delegating this to our brokers, all the orders in the tables are classified as directed orders.    </w:t>
      </w:r>
      <w:r w:rsidRPr="00847700">
        <w:rPr>
          <w:rFonts w:ascii="Times New Roman" w:hAnsi="Times New Roman" w:cs="Times New Roman"/>
          <w:sz w:val="24"/>
          <w:szCs w:val="24"/>
          <w:lang w:val="en-GB"/>
        </w:rPr>
        <w:t xml:space="preserve">  </w:t>
      </w:r>
    </w:p>
    <w:p w:rsidR="00847700" w:rsidRPr="00847700" w:rsidRDefault="00847700" w:rsidP="00847700">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7700">
        <w:rPr>
          <w:rFonts w:asciiTheme="majorHAnsi" w:eastAsiaTheme="majorEastAsia" w:hAnsiTheme="majorHAnsi" w:cstheme="majorBidi"/>
          <w:color w:val="2E74B5" w:themeColor="accent1" w:themeShade="BF"/>
          <w:sz w:val="32"/>
          <w:szCs w:val="32"/>
          <w:lang w:val="en-GB"/>
        </w:rPr>
        <w:lastRenderedPageBreak/>
        <w:t>Summary Analysis. Common Part</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close links, conflicts of interests, and common ownerships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have in 201</w:t>
      </w:r>
      <w:r w:rsidR="00906FC3">
        <w:rPr>
          <w:rFonts w:ascii="Times New Roman" w:hAnsi="Times New Roman" w:cs="Times New Roman"/>
          <w:sz w:val="24"/>
          <w:szCs w:val="24"/>
          <w:lang w:val="en-GB"/>
        </w:rPr>
        <w:t>8</w:t>
      </w:r>
      <w:r w:rsidRPr="00847700">
        <w:rPr>
          <w:rFonts w:ascii="Times New Roman" w:hAnsi="Times New Roman" w:cs="Times New Roman"/>
          <w:sz w:val="24"/>
          <w:szCs w:val="24"/>
          <w:lang w:val="en-GB"/>
        </w:rPr>
        <w:t xml:space="preserve"> any close links, conflicts of interests, or common ownerships with respect to any broker used to execute client orders except as provided for in this sub-section below.</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When operating on the Russian financial market in 201</w:t>
      </w:r>
      <w:r w:rsidR="00906FC3">
        <w:rPr>
          <w:rFonts w:ascii="Times New Roman" w:hAnsi="Times New Roman" w:cs="Times New Roman"/>
          <w:sz w:val="24"/>
          <w:szCs w:val="24"/>
          <w:lang w:val="en-GB"/>
        </w:rPr>
        <w:t>8</w:t>
      </w:r>
      <w:r w:rsidRPr="00847700">
        <w:rPr>
          <w:rFonts w:ascii="Times New Roman" w:hAnsi="Times New Roman" w:cs="Times New Roman"/>
          <w:sz w:val="24"/>
          <w:szCs w:val="24"/>
          <w:lang w:val="en-GB"/>
        </w:rPr>
        <w:t xml:space="preserve"> VIL used the brokerage and custodial services of its parent company IC Veles Capital LLC always acting in compliance with its Conflicts of Interest Policy (</w:t>
      </w:r>
      <w:hyperlink r:id="rId8"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xml:space="preserve">). IC Veles Capital LLC was primarily selected by VIL as its Russian broker due to its long and significant experience on the Russian financial market, independence in ownership, conservative approach to managing risks specifically confirmed by S&amp;P rating agency, higher overall quality of execution and intra-group protection of client personal and other confidential data. The latter consideration is of high importance taking into account the statutory requirements existing in Russia to provide to local brokers information on investment firm’s end clients for tax and AML purposes.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specific arrangements regarding payments made or received, discounts, rebates or non-monetary benefits received (‘Inducements’)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pay or receive in 201</w:t>
      </w:r>
      <w:r w:rsidR="00906FC3">
        <w:rPr>
          <w:rFonts w:ascii="Times New Roman" w:hAnsi="Times New Roman" w:cs="Times New Roman"/>
          <w:sz w:val="24"/>
          <w:szCs w:val="24"/>
          <w:lang w:val="en-GB"/>
        </w:rPr>
        <w:t>8</w:t>
      </w:r>
      <w:r w:rsidRPr="00847700">
        <w:rPr>
          <w:rFonts w:ascii="Times New Roman" w:hAnsi="Times New Roman" w:cs="Times New Roman"/>
          <w:sz w:val="24"/>
          <w:szCs w:val="24"/>
          <w:lang w:val="en-GB"/>
        </w:rPr>
        <w:t xml:space="preserve"> any Inducements which may have led to a conflict of interest always acting in accordance with its Conflicts of Interest Policy and Inducements Policy (</w:t>
      </w:r>
      <w:hyperlink r:id="rId9"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This particularly included Inducements paid to or received from its parent company and Russian broker IC Veles Capital LLC. Only a proper brokerage and custodial fees were routinely paid.</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the factors that led to a change in the list of execution venues/brokers listed in the firm's execution policy</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 such changes occurred in 201</w:t>
      </w:r>
      <w:r w:rsidR="00906FC3">
        <w:rPr>
          <w:rFonts w:ascii="Times New Roman" w:hAnsi="Times New Roman" w:cs="Times New Roman"/>
          <w:sz w:val="24"/>
          <w:szCs w:val="24"/>
          <w:lang w:val="en-GB"/>
        </w:rPr>
        <w:t>8</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order execution differs according to client categorisation, where the firm treats categories of clients differently and where it may affect the order execution arrangements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Execution factors are applied by VIL, when executing client orders, in light of </w:t>
      </w:r>
      <w:r w:rsidRPr="00847700">
        <w:rPr>
          <w:rFonts w:ascii="Times New Roman" w:hAnsi="Times New Roman" w:cs="Times New Roman"/>
          <w:sz w:val="24"/>
          <w:szCs w:val="24"/>
          <w:lang w:val="en-US"/>
        </w:rPr>
        <w:t xml:space="preserve">client </w:t>
      </w:r>
      <w:proofErr w:type="spellStart"/>
      <w:r w:rsidRPr="00847700">
        <w:rPr>
          <w:rFonts w:ascii="Times New Roman" w:hAnsi="Times New Roman" w:cs="Times New Roman"/>
          <w:sz w:val="24"/>
          <w:szCs w:val="24"/>
          <w:lang w:val="en-US"/>
        </w:rPr>
        <w:t>categorisation</w:t>
      </w:r>
      <w:proofErr w:type="spellEnd"/>
      <w:r w:rsidRPr="00847700">
        <w:rPr>
          <w:rFonts w:ascii="Times New Roman" w:hAnsi="Times New Roman" w:cs="Times New Roman"/>
          <w:sz w:val="24"/>
          <w:szCs w:val="24"/>
          <w:lang w:val="en-GB"/>
        </w:rPr>
        <w:t>. The factors are ranked by their relative importance for the quality of execution of orders related to particular class of financial instrument as outlined below. This is primarily the case with respect to retail clients. For professional clients the particular order of importance may differ on a case-by-case basis taking into account the client’s particular needs and preferences (indicated by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professional clients</w:t>
      </w:r>
      <w:r w:rsidRPr="00847700">
        <w:rPr>
          <w:rFonts w:ascii="Times New Roman" w:hAnsi="Times New Roman" w:cs="Times New Roman"/>
          <w:sz w:val="24"/>
          <w:szCs w:val="24"/>
          <w:lang w:val="en-GB"/>
        </w:rPr>
        <w:t xml:space="preserve">, price and cost are generally two separate execution factors. For professional </w:t>
      </w:r>
      <w:proofErr w:type="gramStart"/>
      <w:r w:rsidRPr="00847700">
        <w:rPr>
          <w:rFonts w:ascii="Times New Roman" w:hAnsi="Times New Roman" w:cs="Times New Roman"/>
          <w:sz w:val="24"/>
          <w:szCs w:val="24"/>
          <w:lang w:val="en-GB"/>
        </w:rPr>
        <w:t>clients</w:t>
      </w:r>
      <w:proofErr w:type="gramEnd"/>
      <w:r w:rsidRPr="00847700">
        <w:rPr>
          <w:rFonts w:ascii="Times New Roman" w:hAnsi="Times New Roman" w:cs="Times New Roman"/>
          <w:sz w:val="24"/>
          <w:szCs w:val="24"/>
          <w:lang w:val="en-GB"/>
        </w:rPr>
        <w:t xml:space="preserve"> price is generally the factor of primary importance for VIL to choose the execution venue (the execution broker should indicate this approach in its Best Execution Policy), with cost being taken into account as a factor balancing against other execution factors. Indication to this effect in the client order or known client preferences will be </w:t>
      </w:r>
      <w:r w:rsidRPr="00847700">
        <w:rPr>
          <w:rFonts w:ascii="Times New Roman" w:hAnsi="Times New Roman" w:cs="Times New Roman"/>
          <w:sz w:val="24"/>
          <w:szCs w:val="24"/>
          <w:lang w:val="en-GB"/>
        </w:rPr>
        <w:lastRenderedPageBreak/>
        <w:t>followed.  However, there may be circumstances where price is no longer the dominant execution factor; for example, for transactions in less liquid securities, likelihood of execution or the size of order become more important.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retail clients</w:t>
      </w:r>
      <w:r w:rsidRPr="00847700">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See the sub-section above and further details (if any) specified with respect to particular instrument below.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the investment firm has used any data or tools relating to the quality of execution, including any data published under Delegated Regulation (EU) 2017/575</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Where there was no specific instruction provided by the client and there was more than one execution venue operating in the respective financial instrument on the relevant financial market, VIL relied on the best execution arrangements of its execution brokers.</w:t>
      </w:r>
    </w:p>
    <w:p w:rsidR="00847700" w:rsidRPr="00847700" w:rsidRDefault="00847700" w:rsidP="00847700">
      <w:pPr>
        <w:jc w:val="both"/>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Where applicable, an explanation of how the investment firm has used output of a consolidated tape provider established under Article 65 of Directive 2014/65/EU</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Not applicable</w:t>
      </w:r>
    </w:p>
    <w:p w:rsidR="0084197F" w:rsidRDefault="0084197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However, for convertible bond transactions, VIL will </w:t>
      </w:r>
      <w:proofErr w:type="spellStart"/>
      <w:r w:rsidRPr="0084197F">
        <w:rPr>
          <w:rFonts w:ascii="Times New Roman" w:hAnsi="Times New Roman" w:cs="Times New Roman"/>
          <w:sz w:val="24"/>
          <w:szCs w:val="24"/>
          <w:lang w:val="en-US"/>
        </w:rPr>
        <w:t>prioritise</w:t>
      </w:r>
      <w:proofErr w:type="spellEnd"/>
      <w:r w:rsidRPr="0084197F">
        <w:rPr>
          <w:rFonts w:ascii="Times New Roman" w:hAnsi="Times New Roman" w:cs="Times New Roman"/>
          <w:sz w:val="24"/>
          <w:szCs w:val="24"/>
          <w:lang w:val="en-US"/>
        </w:rPr>
        <w:t xml:space="preserve"> execution factors as follows:</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speed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likelihood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In relation to a market order speed of execution (primary factor) and size of the order (secondary factor) are the most important execution factors.</w:t>
      </w:r>
    </w:p>
    <w:tbl>
      <w:tblPr>
        <w:tblW w:w="13894" w:type="dxa"/>
        <w:tblLook w:val="04A0" w:firstRow="1" w:lastRow="0" w:firstColumn="1" w:lastColumn="0" w:noHBand="0" w:noVBand="1"/>
      </w:tblPr>
      <w:tblGrid>
        <w:gridCol w:w="4253"/>
        <w:gridCol w:w="2534"/>
        <w:gridCol w:w="2713"/>
        <w:gridCol w:w="2126"/>
        <w:gridCol w:w="2268"/>
      </w:tblGrid>
      <w:tr w:rsidR="00EF6BFE" w:rsidRPr="00847700" w:rsidTr="0084197F">
        <w:trPr>
          <w:trHeight w:val="315"/>
        </w:trPr>
        <w:tc>
          <w:tcPr>
            <w:tcW w:w="6787" w:type="dxa"/>
            <w:gridSpan w:val="2"/>
            <w:tcBorders>
              <w:top w:val="nil"/>
              <w:left w:val="nil"/>
              <w:bottom w:val="nil"/>
              <w:right w:val="nil"/>
            </w:tcBorders>
            <w:shd w:val="clear" w:color="auto" w:fill="auto"/>
            <w:noWrap/>
            <w:vAlign w:val="bottom"/>
            <w:hideMark/>
          </w:tcPr>
          <w:p w:rsidR="00EF6BFE" w:rsidRPr="0084197F" w:rsidRDefault="00EF6BFE" w:rsidP="002753B7">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Top five</w:t>
            </w:r>
            <w:r w:rsidR="00381048">
              <w:rPr>
                <w:rFonts w:ascii="Calibri" w:eastAsia="Times New Roman" w:hAnsi="Calibri" w:cs="Times New Roman"/>
                <w:b/>
                <w:bCs/>
                <w:color w:val="000000"/>
                <w:sz w:val="20"/>
                <w:szCs w:val="20"/>
                <w:lang w:val="en-GB" w:eastAsia="en-GB"/>
              </w:rPr>
              <w:t xml:space="preserve"> </w:t>
            </w:r>
            <w:proofErr w:type="gramStart"/>
            <w:r w:rsidR="002753B7">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w:t>
            </w:r>
            <w:proofErr w:type="gramEnd"/>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Equities</w:t>
            </w:r>
          </w:p>
        </w:tc>
        <w:tc>
          <w:tcPr>
            <w:tcW w:w="271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84197F" w:rsidTr="0084197F">
        <w:trPr>
          <w:trHeight w:val="300"/>
        </w:trPr>
        <w:tc>
          <w:tcPr>
            <w:tcW w:w="425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EF6BFE" w:rsidRPr="0084197F" w:rsidRDefault="00EF6BFE" w:rsidP="00EF6BFE">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EF6BFE"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F6BFE" w:rsidRPr="0084197F" w:rsidRDefault="00EF6BFE" w:rsidP="00397F7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Pr>
                <w:rFonts w:ascii="Calibri" w:eastAsia="Times New Roman" w:hAnsi="Calibri" w:cs="Times New Roman"/>
                <w:color w:val="2F75B5"/>
                <w:sz w:val="20"/>
                <w:szCs w:val="20"/>
                <w:lang w:val="en-GB" w:eastAsia="en-GB"/>
              </w:rPr>
              <w:t>brokers</w:t>
            </w:r>
            <w:r w:rsidRPr="0084197F">
              <w:rPr>
                <w:rFonts w:ascii="Calibri" w:eastAsia="Times New Roman" w:hAnsi="Calibri" w:cs="Times New Roman"/>
                <w:color w:val="2F75B5"/>
                <w:sz w:val="20"/>
                <w:szCs w:val="20"/>
                <w:lang w:val="en-GB" w:eastAsia="en-GB"/>
              </w:rPr>
              <w:t xml:space="preserve">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84197F" w:rsidRDefault="00EF6BFE" w:rsidP="00EF6BFE">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847700" w:rsidRPr="0084197F"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6D1820" w:rsidRDefault="00847700" w:rsidP="00847700">
            <w:pPr>
              <w:spacing w:after="0" w:line="240" w:lineRule="auto"/>
              <w:rPr>
                <w:rFonts w:ascii="Calibri" w:eastAsia="Times New Roman" w:hAnsi="Calibri" w:cs="Times New Roman"/>
                <w:b/>
                <w:bCs/>
                <w:i/>
                <w:iCs/>
                <w:color w:val="2F75B5"/>
                <w:sz w:val="20"/>
                <w:szCs w:val="20"/>
                <w:lang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Pr="0084197F" w:rsidRDefault="00906FC3"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ind w:right="-251"/>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D1820"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D1820" w:rsidRPr="00906FC3" w:rsidRDefault="00906FC3" w:rsidP="006D1820">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rsidR="006D1820" w:rsidRPr="00906FC3" w:rsidRDefault="00906FC3" w:rsidP="006D1820">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13" w:type="dxa"/>
            <w:tcBorders>
              <w:top w:val="single" w:sz="4" w:space="0" w:color="auto"/>
              <w:left w:val="nil"/>
              <w:bottom w:val="single" w:sz="4" w:space="0" w:color="auto"/>
              <w:right w:val="single" w:sz="4" w:space="0" w:color="auto"/>
            </w:tcBorders>
            <w:shd w:val="clear" w:color="auto" w:fill="auto"/>
            <w:noWrap/>
            <w:hideMark/>
          </w:tcPr>
          <w:p w:rsidR="006D1820" w:rsidRPr="00906FC3" w:rsidRDefault="00906FC3" w:rsidP="006D1820">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6D1820" w:rsidRPr="00906FC3" w:rsidRDefault="00906FC3" w:rsidP="006D1820">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906FC3" w:rsidRDefault="00906FC3" w:rsidP="006D182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847700" w:rsidRPr="0084197F" w:rsidTr="0084770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847700" w:rsidRPr="00906FC3" w:rsidRDefault="00906FC3" w:rsidP="00847700">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13" w:type="dxa"/>
            <w:tcBorders>
              <w:top w:val="single" w:sz="4" w:space="0" w:color="auto"/>
              <w:left w:val="nil"/>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025C9D" w:rsidRPr="0084197F" w:rsidTr="00C53F14">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hideMark/>
          </w:tcPr>
          <w:p w:rsidR="00025C9D" w:rsidRPr="00025C9D" w:rsidRDefault="00906FC3" w:rsidP="00025C9D">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val="en-GB" w:eastAsia="en-GB"/>
              </w:rPr>
              <w:t>100</w:t>
            </w:r>
            <w:r w:rsidR="00025C9D" w:rsidRPr="00025C9D">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lang w:val="en-GB" w:eastAsia="en-GB"/>
              </w:rPr>
              <w:t>000</w:t>
            </w:r>
            <w:r w:rsidR="00025C9D" w:rsidRPr="00025C9D">
              <w:rPr>
                <w:rFonts w:ascii="Calibri" w:eastAsia="Times New Roman" w:hAnsi="Calibri" w:cs="Times New Roman"/>
                <w:color w:val="000000"/>
                <w:sz w:val="20"/>
                <w:szCs w:val="20"/>
                <w:lang w:eastAsia="en-GB"/>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025C9D" w:rsidRPr="00025C9D" w:rsidRDefault="00906FC3" w:rsidP="00025C9D">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val="en-GB" w:eastAsia="en-GB"/>
              </w:rPr>
              <w:t>100</w:t>
            </w:r>
            <w:r w:rsidRPr="00025C9D">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lang w:val="en-GB" w:eastAsia="en-GB"/>
              </w:rPr>
              <w:t>000</w:t>
            </w:r>
            <w:r w:rsidRPr="00025C9D">
              <w:rPr>
                <w:rFonts w:ascii="Calibri" w:eastAsia="Times New Roman" w:hAnsi="Calibri"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847700" w:rsidRDefault="00025C9D" w:rsidP="00025C9D">
            <w:pPr>
              <w:spacing w:after="0" w:line="240" w:lineRule="auto"/>
              <w:ind w:left="352" w:hanging="352"/>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r w:rsidR="00847700" w:rsidRPr="0084197F" w:rsidTr="00025C9D">
        <w:trPr>
          <w:trHeight w:val="300"/>
        </w:trPr>
        <w:tc>
          <w:tcPr>
            <w:tcW w:w="4253" w:type="dxa"/>
            <w:tcBorders>
              <w:top w:val="nil"/>
              <w:left w:val="single" w:sz="4" w:space="0" w:color="auto"/>
              <w:bottom w:val="single" w:sz="4" w:space="0" w:color="auto"/>
              <w:right w:val="nil"/>
            </w:tcBorders>
            <w:shd w:val="clear" w:color="auto" w:fill="auto"/>
            <w:noWrap/>
            <w:vAlign w:val="bottom"/>
          </w:tcPr>
          <w:p w:rsidR="00847700" w:rsidRPr="00D7096C" w:rsidRDefault="00847700" w:rsidP="00847700">
            <w:pPr>
              <w:spacing w:after="0" w:line="240" w:lineRule="auto"/>
              <w:rPr>
                <w:rFonts w:ascii="Calibri" w:eastAsia="Times New Roman" w:hAnsi="Calibri" w:cs="Times New Roman"/>
                <w:color w:val="000000"/>
                <w:sz w:val="20"/>
                <w:szCs w:val="20"/>
                <w:lang w:val="en-GB" w:eastAsia="en-GB"/>
              </w:rPr>
            </w:pPr>
          </w:p>
        </w:tc>
        <w:tc>
          <w:tcPr>
            <w:tcW w:w="2534" w:type="dxa"/>
            <w:tcBorders>
              <w:top w:val="nil"/>
              <w:left w:val="single" w:sz="4" w:space="0" w:color="auto"/>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center"/>
              <w:rPr>
                <w:rFonts w:ascii="Calibri" w:eastAsia="Times New Roman" w:hAnsi="Calibri" w:cs="Times New Roman"/>
                <w:color w:val="000000"/>
                <w:sz w:val="20"/>
                <w:szCs w:val="20"/>
                <w:lang w:eastAsia="en-GB"/>
              </w:rPr>
            </w:pPr>
          </w:p>
        </w:tc>
        <w:tc>
          <w:tcPr>
            <w:tcW w:w="2713" w:type="dxa"/>
            <w:tcBorders>
              <w:top w:val="nil"/>
              <w:left w:val="nil"/>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906FC3" w:rsidRPr="0084197F" w:rsidTr="00A66F20">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13" w:type="dxa"/>
            <w:tcBorders>
              <w:top w:val="single" w:sz="4" w:space="0" w:color="auto"/>
              <w:left w:val="nil"/>
              <w:bottom w:val="single" w:sz="4" w:space="0" w:color="auto"/>
              <w:right w:val="single" w:sz="4" w:space="0" w:color="auto"/>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906FC3" w:rsidRPr="00906FC3" w:rsidRDefault="00906FC3" w:rsidP="00906FC3">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906FC3" w:rsidRPr="00D7096C" w:rsidTr="00A66F20">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13" w:type="dxa"/>
            <w:tcBorders>
              <w:top w:val="single" w:sz="4" w:space="0" w:color="auto"/>
              <w:left w:val="nil"/>
              <w:bottom w:val="single" w:sz="4" w:space="0" w:color="auto"/>
              <w:right w:val="single" w:sz="4" w:space="0" w:color="auto"/>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906FC3" w:rsidRPr="00906FC3" w:rsidRDefault="00906FC3" w:rsidP="00906FC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906FC3" w:rsidRPr="00906FC3" w:rsidRDefault="00906FC3" w:rsidP="00906FC3">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Pr="0084197F" w:rsidRDefault="005D20CF" w:rsidP="00847700">
            <w:pPr>
              <w:spacing w:after="0" w:line="240" w:lineRule="auto"/>
              <w:rPr>
                <w:rFonts w:ascii="Times New Roman" w:eastAsia="Times New Roman" w:hAnsi="Times New Roman" w:cs="Times New Roman"/>
                <w:sz w:val="20"/>
                <w:szCs w:val="20"/>
                <w:lang w:val="en-GB" w:eastAsia="en-GB"/>
              </w:rPr>
            </w:pP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906FC3" w:rsidRPr="0084197F" w:rsidTr="00695A9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906FC3" w:rsidRPr="00025C9D" w:rsidRDefault="00906FC3" w:rsidP="00906FC3">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FC3" w:rsidRPr="00025C9D" w:rsidRDefault="00906FC3" w:rsidP="00906FC3">
            <w:pPr>
              <w:spacing w:after="0" w:line="240" w:lineRule="auto"/>
              <w:jc w:val="center"/>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hideMark/>
          </w:tcPr>
          <w:p w:rsidR="00906FC3" w:rsidRPr="00025C9D" w:rsidRDefault="00906FC3" w:rsidP="00906FC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val="en-GB" w:eastAsia="en-GB"/>
              </w:rPr>
              <w:t>100</w:t>
            </w:r>
            <w:r w:rsidRPr="00025C9D">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lang w:val="en-GB" w:eastAsia="en-GB"/>
              </w:rPr>
              <w:t>000</w:t>
            </w:r>
            <w:r w:rsidRPr="00025C9D">
              <w:rPr>
                <w:rFonts w:ascii="Calibri" w:eastAsia="Times New Roman" w:hAnsi="Calibri" w:cs="Times New Roman"/>
                <w:color w:val="000000"/>
                <w:sz w:val="20"/>
                <w:szCs w:val="20"/>
                <w:lang w:eastAsia="en-GB"/>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906FC3" w:rsidRPr="00025C9D" w:rsidRDefault="00906FC3" w:rsidP="00906FC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val="en-GB" w:eastAsia="en-GB"/>
              </w:rPr>
              <w:t>100</w:t>
            </w:r>
            <w:r w:rsidRPr="00025C9D">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lang w:val="en-GB" w:eastAsia="en-GB"/>
              </w:rPr>
              <w:t>000</w:t>
            </w:r>
            <w:r w:rsidRPr="00025C9D">
              <w:rPr>
                <w:rFonts w:ascii="Calibri" w:eastAsia="Times New Roman" w:hAnsi="Calibri"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906FC3" w:rsidRPr="00847700" w:rsidRDefault="00906FC3" w:rsidP="00906FC3">
            <w:pPr>
              <w:spacing w:after="0" w:line="240" w:lineRule="auto"/>
              <w:ind w:left="352" w:hanging="352"/>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bl>
    <w:p w:rsidR="0084197F" w:rsidRDefault="0084197F">
      <w:r>
        <w:br w:type="page"/>
      </w:r>
    </w:p>
    <w:tbl>
      <w:tblPr>
        <w:tblW w:w="13721" w:type="dxa"/>
        <w:tblLook w:val="04A0" w:firstRow="1" w:lastRow="0" w:firstColumn="1" w:lastColumn="0" w:noHBand="0" w:noVBand="1"/>
      </w:tblPr>
      <w:tblGrid>
        <w:gridCol w:w="13721"/>
      </w:tblGrid>
      <w:tr w:rsidR="0084197F" w:rsidRPr="006D1820" w:rsidTr="00B80A4D">
        <w:trPr>
          <w:trHeight w:val="300"/>
        </w:trPr>
        <w:tc>
          <w:tcPr>
            <w:tcW w:w="13721" w:type="dxa"/>
            <w:tcBorders>
              <w:top w:val="nil"/>
              <w:left w:val="nil"/>
              <w:bottom w:val="nil"/>
            </w:tcBorders>
            <w:shd w:val="clear" w:color="auto" w:fill="auto"/>
            <w:noWrap/>
            <w:vAlign w:val="bottom"/>
            <w:hideMark/>
          </w:tcPr>
          <w:p w:rsidR="0084197F" w:rsidRPr="000B7D46"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0B7D46">
              <w:rPr>
                <w:rFonts w:asciiTheme="majorHAnsi" w:eastAsiaTheme="majorEastAsia" w:hAnsiTheme="majorHAnsi" w:cstheme="majorBidi"/>
                <w:color w:val="2E74B5" w:themeColor="accent1" w:themeShade="BF"/>
                <w:sz w:val="32"/>
                <w:szCs w:val="32"/>
                <w:lang w:val="en-GB"/>
              </w:rPr>
              <w:lastRenderedPageBreak/>
              <w:t xml:space="preserve">Summary Analysis. </w:t>
            </w:r>
            <w:r>
              <w:rPr>
                <w:rFonts w:asciiTheme="majorHAnsi" w:eastAsiaTheme="majorEastAsia" w:hAnsiTheme="majorHAnsi" w:cstheme="majorBidi"/>
                <w:color w:val="2E74B5" w:themeColor="accent1" w:themeShade="BF"/>
                <w:sz w:val="32"/>
                <w:szCs w:val="32"/>
                <w:lang w:val="en-GB"/>
              </w:rPr>
              <w:t>Debt Instruments</w:t>
            </w:r>
            <w:r w:rsidRPr="000B7D46">
              <w:rPr>
                <w:rFonts w:asciiTheme="majorHAnsi" w:eastAsiaTheme="majorEastAsia" w:hAnsiTheme="majorHAnsi" w:cstheme="majorBidi"/>
                <w:color w:val="2E74B5" w:themeColor="accent1" w:themeShade="BF"/>
                <w:sz w:val="32"/>
                <w:szCs w:val="32"/>
                <w:lang w:val="en-GB"/>
              </w:rPr>
              <w:t xml:space="preserve"> - </w:t>
            </w:r>
            <w:r>
              <w:rPr>
                <w:rFonts w:asciiTheme="majorHAnsi" w:eastAsiaTheme="majorEastAsia" w:hAnsiTheme="majorHAnsi" w:cstheme="majorBidi"/>
                <w:color w:val="2E74B5" w:themeColor="accent1" w:themeShade="BF"/>
                <w:sz w:val="32"/>
                <w:szCs w:val="32"/>
                <w:lang w:val="en-GB"/>
              </w:rPr>
              <w:t>Bonds</w:t>
            </w:r>
          </w:p>
          <w:p w:rsidR="0084197F" w:rsidRPr="000B7D46" w:rsidRDefault="0084197F" w:rsidP="0084197F">
            <w:pPr>
              <w:pStyle w:val="Heading2"/>
              <w:spacing w:after="80"/>
              <w:rPr>
                <w:lang w:val="en-GB"/>
              </w:rPr>
            </w:pPr>
            <w:r w:rsidRPr="000B7D46">
              <w:rPr>
                <w:lang w:val="en-GB"/>
              </w:rPr>
              <w:t>Relevant execution factors (priority descending)</w:t>
            </w:r>
          </w:p>
          <w:p w:rsidR="0084197F" w:rsidRDefault="0084197F" w:rsidP="0084197F">
            <w:pPr>
              <w:spacing w:after="60"/>
              <w:ind w:left="426"/>
              <w:jc w:val="both"/>
              <w:rPr>
                <w:rFonts w:ascii="Times New Roman" w:hAnsi="Times New Roman" w:cs="Times New Roman"/>
                <w:sz w:val="24"/>
                <w:szCs w:val="24"/>
                <w:lang w:val="en-US"/>
              </w:rPr>
            </w:pPr>
            <w:r w:rsidRPr="00BF5784">
              <w:rPr>
                <w:rFonts w:ascii="Times New Roman" w:hAnsi="Times New Roman" w:cs="Times New Roman"/>
                <w:sz w:val="24"/>
                <w:szCs w:val="24"/>
                <w:lang w:val="en-US"/>
              </w:rPr>
              <w:t>1. price (</w:t>
            </w:r>
            <w:r w:rsidRPr="008A6D26">
              <w:rPr>
                <w:rFonts w:ascii="Times New Roman" w:hAnsi="Times New Roman" w:cs="Times New Roman"/>
                <w:i/>
                <w:sz w:val="24"/>
                <w:szCs w:val="24"/>
                <w:lang w:val="en-US"/>
              </w:rPr>
              <w:t>plus costs for retail clients</w:t>
            </w:r>
            <w:r w:rsidRPr="00BF5784">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BF5784">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BF5784">
              <w:rPr>
                <w:rFonts w:ascii="Times New Roman" w:hAnsi="Times New Roman" w:cs="Times New Roman"/>
                <w:sz w:val="24"/>
                <w:szCs w:val="24"/>
                <w:lang w:val="en-US"/>
              </w:rPr>
              <w:t>)</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BF5784">
              <w:rPr>
                <w:rFonts w:ascii="Times New Roman" w:hAnsi="Times New Roman" w:cs="Times New Roman"/>
                <w:sz w:val="24"/>
                <w:szCs w:val="24"/>
                <w:lang w:val="en-US"/>
              </w:rPr>
              <w:t>. speed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BF5784">
              <w:rPr>
                <w:rFonts w:ascii="Times New Roman" w:hAnsi="Times New Roman" w:cs="Times New Roman"/>
                <w:sz w:val="24"/>
                <w:szCs w:val="24"/>
                <w:lang w:val="en-US"/>
              </w:rPr>
              <w:t>. likelihood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size of the order</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 xml:space="preserve">However, for </w:t>
            </w:r>
            <w:r>
              <w:rPr>
                <w:rFonts w:ascii="Times New Roman" w:hAnsi="Times New Roman" w:cs="Times New Roman"/>
                <w:sz w:val="24"/>
                <w:szCs w:val="24"/>
                <w:lang w:val="en-US"/>
              </w:rPr>
              <w:t>structured notes</w:t>
            </w:r>
            <w:r w:rsidRPr="00A33DBE">
              <w:rPr>
                <w:rFonts w:ascii="Times New Roman" w:hAnsi="Times New Roman" w:cs="Times New Roman"/>
                <w:sz w:val="24"/>
                <w:szCs w:val="24"/>
                <w:lang w:val="en-US"/>
              </w:rPr>
              <w:t xml:space="preserve"> transactions, VIL will </w:t>
            </w:r>
            <w:proofErr w:type="spellStart"/>
            <w:r w:rsidRPr="00A33DBE">
              <w:rPr>
                <w:rFonts w:ascii="Times New Roman" w:hAnsi="Times New Roman" w:cs="Times New Roman"/>
                <w:sz w:val="24"/>
                <w:szCs w:val="24"/>
                <w:lang w:val="en-US"/>
              </w:rPr>
              <w:t>prioritise</w:t>
            </w:r>
            <w:proofErr w:type="spellEnd"/>
            <w:r w:rsidRPr="00A33DBE">
              <w:rPr>
                <w:rFonts w:ascii="Times New Roman" w:hAnsi="Times New Roman" w:cs="Times New Roman"/>
                <w:sz w:val="24"/>
                <w:szCs w:val="24"/>
                <w:lang w:val="en-US"/>
              </w:rPr>
              <w:t xml:space="preserve"> execution factors as follows:</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C61D9">
              <w:rPr>
                <w:rFonts w:ascii="Times New Roman" w:hAnsi="Times New Roman" w:cs="Times New Roman"/>
                <w:sz w:val="24"/>
                <w:szCs w:val="24"/>
                <w:lang w:val="en-US"/>
              </w:rPr>
              <w:t>. likelihood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72905">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A72905">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F7AA3">
              <w:rPr>
                <w:rFonts w:ascii="Times New Roman" w:hAnsi="Times New Roman" w:cs="Times New Roman"/>
                <w:sz w:val="24"/>
                <w:szCs w:val="24"/>
                <w:lang w:val="en-US"/>
              </w:rPr>
              <w:t>. speed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6F7AA3">
              <w:rPr>
                <w:rFonts w:ascii="Times New Roman" w:hAnsi="Times New Roman" w:cs="Times New Roman"/>
                <w:sz w:val="24"/>
                <w:szCs w:val="24"/>
                <w:lang w:val="en-US"/>
              </w:rPr>
              <w:t>. size of the order</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price (plus costs for retail clients)</w:t>
            </w:r>
          </w:p>
          <w:p w:rsidR="0084197F" w:rsidRPr="0084197F" w:rsidRDefault="0084197F" w:rsidP="0084197F">
            <w:pPr>
              <w:spacing w:after="60"/>
              <w:jc w:val="both"/>
              <w:rPr>
                <w:rFonts w:ascii="Times New Roman" w:hAnsi="Times New Roman" w:cs="Times New Roman"/>
                <w:sz w:val="24"/>
                <w:szCs w:val="24"/>
                <w:lang w:val="en-US"/>
              </w:rPr>
            </w:pPr>
            <w:r w:rsidRPr="00A7290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the </w:t>
            </w:r>
            <w:r w:rsidRPr="00A72905">
              <w:rPr>
                <w:rFonts w:ascii="Times New Roman" w:hAnsi="Times New Roman" w:cs="Times New Roman"/>
                <w:sz w:val="24"/>
                <w:szCs w:val="24"/>
                <w:lang w:val="en-US"/>
              </w:rPr>
              <w:t>executing trade unwinds</w:t>
            </w:r>
            <w:r>
              <w:rPr>
                <w:rFonts w:ascii="Times New Roman" w:hAnsi="Times New Roman" w:cs="Times New Roman"/>
                <w:sz w:val="24"/>
                <w:szCs w:val="24"/>
                <w:lang w:val="en-US"/>
              </w:rPr>
              <w:t>,</w:t>
            </w:r>
            <w:r w:rsidRPr="00A72905">
              <w:rPr>
                <w:rFonts w:ascii="Times New Roman" w:hAnsi="Times New Roman" w:cs="Times New Roman"/>
                <w:sz w:val="24"/>
                <w:szCs w:val="24"/>
                <w:lang w:val="en-US"/>
              </w:rPr>
              <w:t xml:space="preserve"> the execution factors are changed with price becoming the most significant, followed by likelihood of execution and speed.</w:t>
            </w:r>
          </w:p>
        </w:tc>
      </w:tr>
    </w:tbl>
    <w:p w:rsidR="0084197F" w:rsidRPr="00381048" w:rsidRDefault="0084197F">
      <w:pPr>
        <w:rPr>
          <w:lang w:val="en-GB"/>
        </w:rPr>
      </w:pPr>
    </w:p>
    <w:tbl>
      <w:tblPr>
        <w:tblW w:w="13453" w:type="dxa"/>
        <w:tblLook w:val="04A0" w:firstRow="1" w:lastRow="0" w:firstColumn="1" w:lastColumn="0" w:noHBand="0" w:noVBand="1"/>
      </w:tblPr>
      <w:tblGrid>
        <w:gridCol w:w="4253"/>
        <w:gridCol w:w="2518"/>
        <w:gridCol w:w="2443"/>
        <w:gridCol w:w="2410"/>
        <w:gridCol w:w="1829"/>
      </w:tblGrid>
      <w:tr w:rsidR="0046599B" w:rsidRPr="006D1820" w:rsidTr="0084197F">
        <w:trPr>
          <w:trHeight w:val="315"/>
        </w:trPr>
        <w:tc>
          <w:tcPr>
            <w:tcW w:w="6771" w:type="dxa"/>
            <w:gridSpan w:val="2"/>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 xml:space="preserve">Debt instruments  </w:t>
            </w: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2753B7">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21C8A"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D21C8A" w:rsidRPr="00D21C8A" w:rsidRDefault="00025C9D"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21C8A" w:rsidRPr="00D21C8A" w:rsidRDefault="00025C9D"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tcBorders>
              <w:top w:val="nil"/>
              <w:left w:val="nil"/>
              <w:bottom w:val="single" w:sz="4" w:space="0" w:color="auto"/>
              <w:right w:val="single" w:sz="4" w:space="0" w:color="auto"/>
            </w:tcBorders>
            <w:shd w:val="clear" w:color="auto" w:fill="auto"/>
            <w:noWrap/>
            <w:vAlign w:val="bottom"/>
            <w:hideMark/>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r>
      <w:tr w:rsidR="00D21C8A"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46599B" w:rsidRPr="0084197F" w:rsidTr="002753B7">
        <w:trPr>
          <w:trHeight w:val="300"/>
        </w:trPr>
        <w:tc>
          <w:tcPr>
            <w:tcW w:w="4253" w:type="dxa"/>
            <w:tcBorders>
              <w:top w:val="nil"/>
              <w:left w:val="nil"/>
              <w:bottom w:val="nil"/>
              <w:right w:val="nil"/>
            </w:tcBorders>
            <w:shd w:val="clear" w:color="auto" w:fill="auto"/>
            <w:noWrap/>
            <w:vAlign w:val="bottom"/>
            <w:hideMark/>
          </w:tcPr>
          <w:p w:rsidR="0084197F" w:rsidRDefault="0084197F" w:rsidP="0046599B">
            <w:pPr>
              <w:spacing w:after="0" w:line="240" w:lineRule="auto"/>
              <w:rPr>
                <w:rFonts w:ascii="Calibri" w:eastAsia="Times New Roman" w:hAnsi="Calibri" w:cs="Times New Roman"/>
                <w:b/>
                <w:bCs/>
                <w:i/>
                <w:iCs/>
                <w:color w:val="2F75B5"/>
                <w:sz w:val="20"/>
                <w:szCs w:val="20"/>
                <w:lang w:val="en-GB" w:eastAsia="en-GB"/>
              </w:rPr>
            </w:pPr>
          </w:p>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single" w:sz="4" w:space="0" w:color="auto"/>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753B7"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r w:rsidRPr="002753B7">
              <w:rPr>
                <w:rFonts w:ascii="Calibri" w:eastAsia="Times New Roman" w:hAnsi="Calibri" w:cs="Times New Roman"/>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B7" w:rsidRPr="002753B7" w:rsidRDefault="002753B7" w:rsidP="002753B7">
            <w:pPr>
              <w:spacing w:after="0" w:line="240" w:lineRule="auto"/>
              <w:jc w:val="center"/>
              <w:rPr>
                <w:rFonts w:ascii="Calibri" w:eastAsia="Times New Roman" w:hAnsi="Calibri" w:cs="Times New Roman"/>
                <w:color w:val="000000"/>
                <w:sz w:val="20"/>
                <w:szCs w:val="20"/>
                <w:lang w:val="en-GB" w:eastAsia="en-GB"/>
              </w:rPr>
            </w:pPr>
            <w:r w:rsidRPr="002753B7">
              <w:rPr>
                <w:rFonts w:ascii="Calibri" w:eastAsia="Times New Roman" w:hAnsi="Calibri" w:cs="Times New Roman"/>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2753B7" w:rsidRPr="002753B7" w:rsidRDefault="00025C9D" w:rsidP="002753B7">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753B7" w:rsidRPr="002753B7" w:rsidRDefault="00025C9D" w:rsidP="002753B7">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tcBorders>
              <w:top w:val="nil"/>
              <w:left w:val="nil"/>
              <w:bottom w:val="single" w:sz="4" w:space="0" w:color="auto"/>
              <w:right w:val="single" w:sz="4" w:space="0" w:color="auto"/>
            </w:tcBorders>
            <w:shd w:val="clear" w:color="auto" w:fill="auto"/>
            <w:noWrap/>
            <w:vAlign w:val="bottom"/>
            <w:hideMark/>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2753B7"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center"/>
              <w:divId w:val="1876115805"/>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p>
        </w:tc>
      </w:tr>
    </w:tbl>
    <w:p w:rsidR="00381048" w:rsidRDefault="00381048">
      <w:pPr>
        <w:rPr>
          <w:lang w:val="en-GB"/>
        </w:rPr>
      </w:pPr>
    </w:p>
    <w:p w:rsidR="00381048" w:rsidRDefault="00381048" w:rsidP="00381048">
      <w:pPr>
        <w:rPr>
          <w:lang w:val="en-GB"/>
        </w:rPr>
      </w:pPr>
      <w:r>
        <w:rPr>
          <w:lang w:val="en-GB"/>
        </w:rPr>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Equity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equity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Equity Derivatives</w:t>
      </w:r>
    </w:p>
    <w:tbl>
      <w:tblPr>
        <w:tblW w:w="14601" w:type="dxa"/>
        <w:tblLook w:val="04A0" w:firstRow="1" w:lastRow="0" w:firstColumn="1" w:lastColumn="0" w:noHBand="0" w:noVBand="1"/>
      </w:tblPr>
      <w:tblGrid>
        <w:gridCol w:w="3140"/>
        <w:gridCol w:w="2389"/>
        <w:gridCol w:w="359"/>
        <w:gridCol w:w="2000"/>
        <w:gridCol w:w="389"/>
        <w:gridCol w:w="1808"/>
        <w:gridCol w:w="192"/>
        <w:gridCol w:w="1935"/>
        <w:gridCol w:w="262"/>
        <w:gridCol w:w="2127"/>
      </w:tblGrid>
      <w:tr w:rsidR="00381048" w:rsidRPr="006D1820" w:rsidTr="00847700">
        <w:trPr>
          <w:trHeight w:val="300"/>
        </w:trPr>
        <w:tc>
          <w:tcPr>
            <w:tcW w:w="8277" w:type="dxa"/>
            <w:gridSpan w:val="5"/>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w:t>
            </w:r>
            <w:proofErr w:type="spellStart"/>
            <w:r w:rsidRPr="00381048">
              <w:rPr>
                <w:rFonts w:ascii="Calibri" w:eastAsia="Times New Roman" w:hAnsi="Calibri" w:cs="Calibri"/>
                <w:b/>
                <w:bCs/>
                <w:color w:val="000000"/>
                <w:lang w:val="en-GB" w:eastAsia="en-GB"/>
              </w:rPr>
              <w:t>i</w:t>
            </w:r>
            <w:proofErr w:type="spellEnd"/>
            <w:r w:rsidRPr="00381048">
              <w:rPr>
                <w:rFonts w:ascii="Calibri" w:eastAsia="Times New Roman" w:hAnsi="Calibri" w:cs="Calibri"/>
                <w:b/>
                <w:bCs/>
                <w:color w:val="000000"/>
                <w:lang w:val="en-GB" w:eastAsia="en-GB"/>
              </w:rPr>
              <w:t>) Options and Futures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81048" w:rsidRPr="00381048" w:rsidTr="00847700">
        <w:trPr>
          <w:trHeight w:val="315"/>
        </w:trPr>
        <w:tc>
          <w:tcPr>
            <w:tcW w:w="3140"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389"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p>
        </w:tc>
        <w:tc>
          <w:tcPr>
            <w:tcW w:w="2748" w:type="dxa"/>
            <w:gridSpan w:val="3"/>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00"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jc w:val="center"/>
              <w:rPr>
                <w:rFonts w:ascii="Times New Roman" w:eastAsia="Times New Roman" w:hAnsi="Times New Roman" w:cs="Times New Roman"/>
                <w:sz w:val="20"/>
                <w:szCs w:val="20"/>
                <w:lang w:val="en-GB" w:eastAsia="en-GB"/>
              </w:rPr>
            </w:pPr>
          </w:p>
        </w:tc>
        <w:tc>
          <w:tcPr>
            <w:tcW w:w="2197"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9"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324"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Equity Derivatives</w:t>
            </w:r>
          </w:p>
        </w:tc>
      </w:tr>
      <w:tr w:rsidR="00025C9D" w:rsidRPr="00381048" w:rsidTr="00847700">
        <w:trPr>
          <w:gridAfter w:val="2"/>
          <w:wAfter w:w="2389" w:type="dxa"/>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97"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127"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847700">
        <w:trPr>
          <w:gridAfter w:val="2"/>
          <w:wAfter w:w="2389"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lang w:val="en-GB" w:eastAsia="en-GB"/>
              </w:rPr>
            </w:pPr>
            <w:r w:rsidRPr="002753B7">
              <w:rPr>
                <w:rFonts w:ascii="Calibri" w:eastAsia="Times New Roman" w:hAnsi="Calibri" w:cs="Times New Roman"/>
                <w:color w:val="000000"/>
                <w:sz w:val="20"/>
                <w:szCs w:val="20"/>
                <w:lang w:val="en-GB" w:eastAsia="en-GB"/>
              </w:rPr>
              <w:t>«IC VELES Capital» LLC</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lang w:val="en-GB" w:eastAsia="en-GB"/>
              </w:rPr>
            </w:pPr>
            <w:r w:rsidRPr="00025C9D">
              <w:rPr>
                <w:rFonts w:ascii="Calibri" w:eastAsia="Times New Roman" w:hAnsi="Calibri" w:cs="Times New Roman"/>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97"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27"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r>
    </w:tbl>
    <w:p w:rsidR="00381048" w:rsidRPr="00381048" w:rsidRDefault="00381048" w:rsidP="00381048">
      <w:r w:rsidRPr="00381048">
        <w:br w:type="page"/>
      </w:r>
    </w:p>
    <w:tbl>
      <w:tblPr>
        <w:tblW w:w="12222" w:type="dxa"/>
        <w:tblLook w:val="04A0" w:firstRow="1" w:lastRow="0" w:firstColumn="1" w:lastColumn="0" w:noHBand="0" w:noVBand="1"/>
      </w:tblPr>
      <w:tblGrid>
        <w:gridCol w:w="10"/>
        <w:gridCol w:w="3140"/>
        <w:gridCol w:w="2389"/>
        <w:gridCol w:w="359"/>
        <w:gridCol w:w="2000"/>
        <w:gridCol w:w="2197"/>
        <w:gridCol w:w="2127"/>
      </w:tblGrid>
      <w:tr w:rsidR="00381048" w:rsidRPr="00381048" w:rsidTr="00025C9D">
        <w:trPr>
          <w:gridAfter w:val="4"/>
          <w:wAfter w:w="6683" w:type="dxa"/>
          <w:trHeight w:val="315"/>
        </w:trPr>
        <w:tc>
          <w:tcPr>
            <w:tcW w:w="5539" w:type="dxa"/>
            <w:gridSpan w:val="3"/>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lastRenderedPageBreak/>
              <w:t xml:space="preserve">Table II – Professional clients </w:t>
            </w:r>
          </w:p>
        </w:tc>
      </w:tr>
      <w:tr w:rsidR="00025C9D" w:rsidRPr="00381048" w:rsidTr="00025C9D">
        <w:trPr>
          <w:gridBefore w:val="1"/>
          <w:wBefore w:w="10"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Equity Derivatives</w:t>
            </w:r>
          </w:p>
        </w:tc>
      </w:tr>
      <w:tr w:rsidR="00025C9D" w:rsidRPr="00381048" w:rsidTr="00025C9D">
        <w:trPr>
          <w:gridBefore w:val="1"/>
          <w:wBefore w:w="10" w:type="dxa"/>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025C9D">
        <w:trPr>
          <w:gridBefore w:val="1"/>
          <w:wBefore w:w="10"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lang w:val="en-GB" w:eastAsia="en-GB"/>
              </w:rPr>
            </w:pPr>
            <w:r w:rsidRPr="002753B7">
              <w:rPr>
                <w:rFonts w:ascii="Calibri" w:eastAsia="Times New Roman" w:hAnsi="Calibri" w:cs="Times New Roman"/>
                <w:color w:val="000000"/>
                <w:sz w:val="20"/>
                <w:szCs w:val="20"/>
                <w:lang w:val="en-GB" w:eastAsia="en-GB"/>
              </w:rPr>
              <w:t>«IC VELES Capital» LLC</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025C9D" w:rsidRDefault="00025C9D" w:rsidP="00381048">
            <w:pPr>
              <w:spacing w:after="0" w:line="240" w:lineRule="auto"/>
              <w:rPr>
                <w:rFonts w:ascii="Calibri" w:eastAsia="Times New Roman" w:hAnsi="Calibri" w:cs="Times New Roman"/>
                <w:color w:val="000000"/>
                <w:sz w:val="20"/>
                <w:szCs w:val="20"/>
                <w:lang w:val="en-GB" w:eastAsia="en-GB"/>
              </w:rPr>
            </w:pPr>
            <w:r w:rsidRPr="00025C9D">
              <w:rPr>
                <w:rFonts w:ascii="Calibri" w:eastAsia="Times New Roman" w:hAnsi="Calibri" w:cs="Times New Roman"/>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r>
    </w:tbl>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br w:type="page"/>
      </w:r>
      <w:r w:rsidRPr="00381048">
        <w:rPr>
          <w:rFonts w:asciiTheme="majorHAnsi" w:eastAsiaTheme="majorEastAsia" w:hAnsiTheme="majorHAnsi" w:cstheme="majorBidi"/>
          <w:color w:val="2E74B5" w:themeColor="accent1" w:themeShade="BF"/>
          <w:sz w:val="32"/>
          <w:szCs w:val="32"/>
          <w:lang w:val="en-GB"/>
        </w:rPr>
        <w:lastRenderedPageBreak/>
        <w:t>Summary Analysis. Derivatives - Currency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currency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Currency Derivatives</w:t>
      </w:r>
    </w:p>
    <w:tbl>
      <w:tblPr>
        <w:tblW w:w="14601" w:type="dxa"/>
        <w:tblLook w:val="04A0" w:firstRow="1" w:lastRow="0" w:firstColumn="1" w:lastColumn="0" w:noHBand="0" w:noVBand="1"/>
      </w:tblPr>
      <w:tblGrid>
        <w:gridCol w:w="3128"/>
        <w:gridCol w:w="2856"/>
        <w:gridCol w:w="2000"/>
        <w:gridCol w:w="380"/>
        <w:gridCol w:w="1804"/>
        <w:gridCol w:w="196"/>
        <w:gridCol w:w="1857"/>
        <w:gridCol w:w="327"/>
        <w:gridCol w:w="2053"/>
      </w:tblGrid>
      <w:tr w:rsidR="00381048" w:rsidRPr="006D1820" w:rsidTr="00847700">
        <w:trPr>
          <w:trHeight w:val="300"/>
        </w:trPr>
        <w:tc>
          <w:tcPr>
            <w:tcW w:w="8364" w:type="dxa"/>
            <w:gridSpan w:val="4"/>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w:t>
            </w:r>
            <w:proofErr w:type="spellStart"/>
            <w:r w:rsidRPr="00381048">
              <w:rPr>
                <w:rFonts w:ascii="Calibri" w:eastAsia="Times New Roman" w:hAnsi="Calibri" w:cs="Calibri"/>
                <w:b/>
                <w:bCs/>
                <w:color w:val="000000"/>
                <w:lang w:val="en-GB" w:eastAsia="en-GB"/>
              </w:rPr>
              <w:t>i</w:t>
            </w:r>
            <w:proofErr w:type="spellEnd"/>
            <w:r w:rsidRPr="00381048">
              <w:rPr>
                <w:rFonts w:ascii="Calibri" w:eastAsia="Times New Roman" w:hAnsi="Calibri" w:cs="Calibri"/>
                <w:b/>
                <w:bCs/>
                <w:color w:val="000000"/>
                <w:lang w:val="en-GB" w:eastAsia="en-GB"/>
              </w:rPr>
              <w:t>) Futures and options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84"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53"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0" w:type="dxa"/>
          <w:trHeight w:val="315"/>
        </w:trPr>
        <w:tc>
          <w:tcPr>
            <w:tcW w:w="3128"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6"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2000"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184"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2053"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8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237"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Currency derivatives</w:t>
            </w:r>
          </w:p>
        </w:tc>
      </w:tr>
      <w:tr w:rsidR="00025C9D" w:rsidRPr="00381048" w:rsidTr="00847700">
        <w:trPr>
          <w:gridAfter w:val="2"/>
          <w:wAfter w:w="2380" w:type="dxa"/>
          <w:trHeight w:val="960"/>
        </w:trPr>
        <w:tc>
          <w:tcPr>
            <w:tcW w:w="312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Times New Roman"/>
                <w:color w:val="000000"/>
                <w:sz w:val="20"/>
                <w:szCs w:val="20"/>
                <w:lang w:val="en-GB" w:eastAsia="en-GB"/>
              </w:rPr>
              <w:t>«IC VELES Capital» LLC</w:t>
            </w:r>
          </w:p>
        </w:tc>
        <w:tc>
          <w:tcPr>
            <w:tcW w:w="28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bl>
    <w:p w:rsidR="00381048" w:rsidRPr="00381048" w:rsidRDefault="00381048" w:rsidP="00381048">
      <w:r w:rsidRPr="00381048">
        <w:br w:type="page"/>
      </w:r>
    </w:p>
    <w:tbl>
      <w:tblPr>
        <w:tblW w:w="14601" w:type="dxa"/>
        <w:tblLook w:val="04A0" w:firstRow="1" w:lastRow="0" w:firstColumn="1" w:lastColumn="0" w:noHBand="0" w:noVBand="1"/>
      </w:tblPr>
      <w:tblGrid>
        <w:gridCol w:w="3128"/>
        <w:gridCol w:w="2380"/>
        <w:gridCol w:w="476"/>
        <w:gridCol w:w="2000"/>
        <w:gridCol w:w="380"/>
        <w:gridCol w:w="1804"/>
        <w:gridCol w:w="196"/>
        <w:gridCol w:w="1857"/>
        <w:gridCol w:w="327"/>
        <w:gridCol w:w="2053"/>
      </w:tblGrid>
      <w:tr w:rsidR="00381048" w:rsidRPr="00381048" w:rsidTr="00847700">
        <w:trPr>
          <w:trHeight w:val="315"/>
        </w:trPr>
        <w:tc>
          <w:tcPr>
            <w:tcW w:w="3128"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lastRenderedPageBreak/>
              <w:t xml:space="preserve">Table II – Professional clients </w:t>
            </w:r>
          </w:p>
        </w:tc>
        <w:tc>
          <w:tcPr>
            <w:tcW w:w="2380"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p>
        </w:tc>
        <w:tc>
          <w:tcPr>
            <w:tcW w:w="2856" w:type="dxa"/>
            <w:gridSpan w:val="3"/>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00"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jc w:val="center"/>
              <w:rPr>
                <w:rFonts w:ascii="Times New Roman" w:eastAsia="Times New Roman" w:hAnsi="Times New Roman" w:cs="Times New Roman"/>
                <w:sz w:val="20"/>
                <w:szCs w:val="20"/>
                <w:lang w:val="en-GB" w:eastAsia="en-GB"/>
              </w:rPr>
            </w:pPr>
          </w:p>
        </w:tc>
        <w:tc>
          <w:tcPr>
            <w:tcW w:w="2184"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53"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8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237"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Currency derivatives</w:t>
            </w:r>
          </w:p>
        </w:tc>
      </w:tr>
      <w:tr w:rsidR="00025C9D" w:rsidRPr="00381048" w:rsidTr="00847700">
        <w:trPr>
          <w:gridAfter w:val="2"/>
          <w:wAfter w:w="2380" w:type="dxa"/>
          <w:trHeight w:val="960"/>
        </w:trPr>
        <w:tc>
          <w:tcPr>
            <w:tcW w:w="312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85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Times New Roman"/>
                <w:color w:val="000000"/>
                <w:sz w:val="20"/>
                <w:szCs w:val="20"/>
                <w:lang w:val="en-GB" w:eastAsia="en-GB"/>
              </w:rPr>
              <w:t>«IC VELES Capital» LLC</w:t>
            </w:r>
          </w:p>
        </w:tc>
        <w:tc>
          <w:tcPr>
            <w:tcW w:w="28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bl>
    <w:p w:rsidR="00381048" w:rsidRPr="00381048" w:rsidRDefault="00381048" w:rsidP="00381048"/>
    <w:p w:rsidR="00381048" w:rsidRPr="00381048" w:rsidRDefault="00381048" w:rsidP="00381048">
      <w:r w:rsidRPr="00381048">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Commodities derivatives and emission allowances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commodities derivatives and emission allowances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Commodities Derivatives</w:t>
      </w:r>
    </w:p>
    <w:tbl>
      <w:tblPr>
        <w:tblW w:w="14601" w:type="dxa"/>
        <w:tblLook w:val="04A0" w:firstRow="1" w:lastRow="0" w:firstColumn="1" w:lastColumn="0" w:noHBand="0" w:noVBand="1"/>
      </w:tblPr>
      <w:tblGrid>
        <w:gridCol w:w="3105"/>
        <w:gridCol w:w="2857"/>
        <w:gridCol w:w="1976"/>
        <w:gridCol w:w="10"/>
        <w:gridCol w:w="272"/>
        <w:gridCol w:w="1986"/>
        <w:gridCol w:w="10"/>
        <w:gridCol w:w="2127"/>
        <w:gridCol w:w="131"/>
        <w:gridCol w:w="2127"/>
      </w:tblGrid>
      <w:tr w:rsidR="00381048" w:rsidRPr="006D1820" w:rsidTr="00847700">
        <w:trPr>
          <w:trHeight w:val="300"/>
        </w:trPr>
        <w:tc>
          <w:tcPr>
            <w:tcW w:w="7938"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w:t>
            </w:r>
            <w:proofErr w:type="spellStart"/>
            <w:r w:rsidRPr="00381048">
              <w:rPr>
                <w:rFonts w:ascii="Calibri" w:eastAsia="Times New Roman" w:hAnsi="Calibri" w:cs="Calibri"/>
                <w:b/>
                <w:bCs/>
                <w:color w:val="000000"/>
                <w:lang w:val="en-GB" w:eastAsia="en-GB"/>
              </w:rPr>
              <w:t>i</w:t>
            </w:r>
            <w:proofErr w:type="spellEnd"/>
            <w:r w:rsidRPr="00381048">
              <w:rPr>
                <w:rFonts w:ascii="Calibri" w:eastAsia="Times New Roman" w:hAnsi="Calibri" w:cs="Calibri"/>
                <w:b/>
                <w:bCs/>
                <w:color w:val="000000"/>
                <w:lang w:val="en-GB" w:eastAsia="en-GB"/>
              </w:rPr>
              <w:t>) Options and Futures admitted to trading on a trading venue</w:t>
            </w:r>
          </w:p>
        </w:tc>
        <w:tc>
          <w:tcPr>
            <w:tcW w:w="282"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1986"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268"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258" w:type="dxa"/>
          <w:trHeight w:val="315"/>
        </w:trPr>
        <w:tc>
          <w:tcPr>
            <w:tcW w:w="3105"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1986"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268" w:type="dxa"/>
            <w:gridSpan w:val="3"/>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6D1820" w:rsidTr="00847700">
        <w:trPr>
          <w:gridAfter w:val="2"/>
          <w:wAfter w:w="2258"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6381" w:type="dxa"/>
            <w:gridSpan w:val="6"/>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847700">
        <w:trPr>
          <w:gridAfter w:val="2"/>
          <w:wAfter w:w="2258"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five brokers ranked in terms of trading volumes (in descending order)</w:t>
            </w: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198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847700">
        <w:trPr>
          <w:gridAfter w:val="2"/>
          <w:wAfter w:w="2258"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198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r>
    </w:tbl>
    <w:p w:rsidR="00381048" w:rsidRPr="00381048" w:rsidRDefault="00381048" w:rsidP="00381048">
      <w:pPr>
        <w:rPr>
          <w:sz w:val="20"/>
          <w:szCs w:val="20"/>
        </w:rPr>
      </w:pPr>
      <w:r w:rsidRPr="00381048">
        <w:rPr>
          <w:sz w:val="20"/>
          <w:szCs w:val="20"/>
        </w:rPr>
        <w:br w:type="page"/>
      </w:r>
    </w:p>
    <w:tbl>
      <w:tblPr>
        <w:tblW w:w="12322" w:type="dxa"/>
        <w:tblLook w:val="04A0" w:firstRow="1" w:lastRow="0" w:firstColumn="1" w:lastColumn="0" w:noHBand="0" w:noVBand="1"/>
      </w:tblPr>
      <w:tblGrid>
        <w:gridCol w:w="10"/>
        <w:gridCol w:w="3105"/>
        <w:gridCol w:w="2836"/>
        <w:gridCol w:w="1986"/>
        <w:gridCol w:w="514"/>
        <w:gridCol w:w="1754"/>
        <w:gridCol w:w="2117"/>
      </w:tblGrid>
      <w:tr w:rsidR="00381048" w:rsidRPr="00381048" w:rsidTr="00025C9D">
        <w:trPr>
          <w:gridAfter w:val="2"/>
          <w:wAfter w:w="3871" w:type="dxa"/>
          <w:trHeight w:val="315"/>
        </w:trPr>
        <w:tc>
          <w:tcPr>
            <w:tcW w:w="8451" w:type="dxa"/>
            <w:gridSpan w:val="5"/>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sz w:val="20"/>
                <w:szCs w:val="20"/>
                <w:lang w:val="en-GB" w:eastAsia="en-GB"/>
              </w:rPr>
            </w:pPr>
            <w:r w:rsidRPr="00381048">
              <w:rPr>
                <w:rFonts w:ascii="Calibri" w:eastAsia="Times New Roman" w:hAnsi="Calibri" w:cs="Calibri"/>
                <w:b/>
                <w:bCs/>
                <w:i/>
                <w:iCs/>
                <w:color w:val="2F75B5"/>
                <w:sz w:val="20"/>
                <w:szCs w:val="20"/>
                <w:lang w:val="en-GB" w:eastAsia="en-GB"/>
              </w:rPr>
              <w:lastRenderedPageBreak/>
              <w:t>Table II – Professional clients</w:t>
            </w:r>
          </w:p>
        </w:tc>
      </w:tr>
      <w:tr w:rsidR="00025C9D" w:rsidRPr="006D1820" w:rsidTr="00025C9D">
        <w:trPr>
          <w:gridBefore w:val="1"/>
          <w:wBefore w:w="10"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3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6371" w:type="dxa"/>
            <w:gridSpan w:val="4"/>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025C9D">
        <w:trPr>
          <w:gridBefore w:val="1"/>
          <w:wBefore w:w="10"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brokers venues ranked in terms of trading volumes (in descending order)</w:t>
            </w:r>
          </w:p>
        </w:tc>
        <w:tc>
          <w:tcPr>
            <w:tcW w:w="283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211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025C9D">
        <w:trPr>
          <w:gridBefore w:val="1"/>
          <w:wBefore w:w="10"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IC Veles Capital LLC</w:t>
            </w:r>
          </w:p>
        </w:tc>
        <w:tc>
          <w:tcPr>
            <w:tcW w:w="283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253400GHQM8WGX9UET22</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1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r>
    </w:tbl>
    <w:p w:rsidR="0084197F" w:rsidRPr="0084197F" w:rsidRDefault="0084197F">
      <w:pPr>
        <w:rPr>
          <w:lang w:val="en-GB"/>
        </w:rPr>
      </w:pPr>
      <w:r w:rsidRPr="0084197F">
        <w:rPr>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sidR="002753B7">
        <w:rPr>
          <w:rFonts w:asciiTheme="majorHAnsi" w:eastAsiaTheme="majorEastAsia" w:hAnsiTheme="majorHAnsi" w:cstheme="majorBidi"/>
          <w:color w:val="2E74B5" w:themeColor="accent1" w:themeShade="BF"/>
          <w:sz w:val="32"/>
          <w:szCs w:val="32"/>
          <w:lang w:val="en-GB"/>
        </w:rPr>
        <w:t xml:space="preserve">ary Analysis. </w:t>
      </w:r>
      <w:r w:rsidR="00243F1D" w:rsidRPr="00243F1D">
        <w:rPr>
          <w:rFonts w:asciiTheme="majorHAnsi" w:eastAsiaTheme="majorEastAsia" w:hAnsiTheme="majorHAnsi" w:cstheme="majorBidi"/>
          <w:color w:val="2E74B5" w:themeColor="accent1" w:themeShade="BF"/>
          <w:sz w:val="32"/>
          <w:szCs w:val="32"/>
          <w:lang w:val="en-GB"/>
        </w:rPr>
        <w:t>Interest rate derivatives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453" w:type="dxa"/>
        <w:tblLook w:val="04A0" w:firstRow="1" w:lastRow="0" w:firstColumn="1" w:lastColumn="0" w:noHBand="0" w:noVBand="1"/>
      </w:tblPr>
      <w:tblGrid>
        <w:gridCol w:w="4253"/>
        <w:gridCol w:w="2518"/>
        <w:gridCol w:w="2443"/>
        <w:gridCol w:w="2410"/>
        <w:gridCol w:w="1829"/>
      </w:tblGrid>
      <w:tr w:rsidR="0046599B" w:rsidRPr="006D1820" w:rsidTr="0084197F">
        <w:trPr>
          <w:trHeight w:val="315"/>
        </w:trPr>
        <w:tc>
          <w:tcPr>
            <w:tcW w:w="9214" w:type="dxa"/>
            <w:gridSpan w:val="3"/>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00243F1D" w:rsidRPr="00243F1D">
              <w:rPr>
                <w:rFonts w:ascii="Calibri" w:eastAsia="Times New Roman" w:hAnsi="Calibri" w:cs="Times New Roman"/>
                <w:b/>
                <w:bCs/>
                <w:color w:val="FF0000"/>
                <w:sz w:val="20"/>
                <w:szCs w:val="20"/>
                <w:lang w:val="en-GB" w:eastAsia="en-GB"/>
              </w:rPr>
              <w:t>Interest rate derivatives</w:t>
            </w: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25C9D" w:rsidRPr="0084197F" w:rsidTr="0084197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025C9D" w:rsidRPr="002753B7" w:rsidRDefault="00243F1D" w:rsidP="00025C9D">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518" w:type="dxa"/>
            <w:tcBorders>
              <w:top w:val="nil"/>
              <w:left w:val="nil"/>
              <w:bottom w:val="single" w:sz="4" w:space="0" w:color="auto"/>
              <w:right w:val="single" w:sz="4" w:space="0" w:color="auto"/>
            </w:tcBorders>
            <w:shd w:val="clear" w:color="auto" w:fill="auto"/>
            <w:noWrap/>
            <w:vAlign w:val="bottom"/>
            <w:hideMark/>
          </w:tcPr>
          <w:p w:rsidR="00025C9D" w:rsidRPr="002753B7" w:rsidRDefault="00243F1D" w:rsidP="00025C9D">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43"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00243F1D">
              <w:rPr>
                <w:rFonts w:ascii="Calibri" w:eastAsia="Times New Roman" w:hAnsi="Calibri" w:cs="Calibri"/>
                <w:color w:val="000000"/>
                <w:sz w:val="20"/>
                <w:szCs w:val="20"/>
                <w:lang w:val="en-GB"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00243F1D">
              <w:rPr>
                <w:rFonts w:ascii="Calibri" w:eastAsia="Times New Roman" w:hAnsi="Calibri" w:cs="Calibri"/>
                <w:color w:val="000000"/>
                <w:sz w:val="20"/>
                <w:szCs w:val="20"/>
                <w:lang w:val="en-GB" w:eastAsia="en-GB"/>
              </w:rPr>
              <w:t>-</w:t>
            </w:r>
          </w:p>
        </w:tc>
        <w:tc>
          <w:tcPr>
            <w:tcW w:w="1829"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00243F1D">
              <w:rPr>
                <w:rFonts w:ascii="Calibri" w:eastAsia="Times New Roman" w:hAnsi="Calibri" w:cs="Calibri"/>
                <w:color w:val="000000"/>
                <w:sz w:val="20"/>
                <w:szCs w:val="20"/>
                <w:lang w:val="en-GB" w:eastAsia="en-GB"/>
              </w:rPr>
              <w:t>-</w:t>
            </w: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025C9D" w:rsidRPr="0084197F" w:rsidRDefault="00025C9D" w:rsidP="00025C9D">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025C9D"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43F1D" w:rsidRPr="0084197F" w:rsidTr="006D26C2">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243F1D" w:rsidRPr="00025C9D" w:rsidRDefault="00243F1D" w:rsidP="00243F1D">
            <w:pPr>
              <w:spacing w:after="0" w:line="240" w:lineRule="auto"/>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F1D" w:rsidRPr="00025C9D" w:rsidRDefault="00243F1D" w:rsidP="00243F1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253400GHQM8WGX9UET22</w:t>
            </w:r>
          </w:p>
        </w:tc>
        <w:tc>
          <w:tcPr>
            <w:tcW w:w="2443"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c>
          <w:tcPr>
            <w:tcW w:w="2410"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c>
          <w:tcPr>
            <w:tcW w:w="1829"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r>
    </w:tbl>
    <w:p w:rsidR="00821BCB" w:rsidRPr="0084197F" w:rsidRDefault="00821BCB">
      <w:pPr>
        <w:rPr>
          <w:sz w:val="20"/>
          <w:szCs w:val="20"/>
        </w:rPr>
      </w:pPr>
    </w:p>
    <w:p w:rsidR="00243F1D" w:rsidRDefault="00243F1D">
      <w:pPr>
        <w:rPr>
          <w:sz w:val="20"/>
          <w:szCs w:val="20"/>
        </w:rPr>
      </w:pPr>
      <w:r>
        <w:rPr>
          <w:sz w:val="20"/>
          <w:szCs w:val="20"/>
        </w:rPr>
        <w:br w:type="page"/>
      </w:r>
    </w:p>
    <w:p w:rsidR="00243F1D" w:rsidRPr="0084197F" w:rsidRDefault="00243F1D" w:rsidP="00243F1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ary Analysis. Other instruments</w:t>
      </w:r>
    </w:p>
    <w:p w:rsidR="00243F1D" w:rsidRPr="0084197F" w:rsidRDefault="00243F1D" w:rsidP="00243F1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243F1D" w:rsidRPr="0084197F" w:rsidRDefault="00243F1D" w:rsidP="00243F1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243F1D" w:rsidRPr="0084197F" w:rsidRDefault="00243F1D" w:rsidP="00243F1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243F1D" w:rsidRPr="0084197F" w:rsidRDefault="00243F1D" w:rsidP="00243F1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243F1D" w:rsidRPr="0084197F" w:rsidRDefault="00243F1D" w:rsidP="00243F1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243F1D" w:rsidRPr="0084197F" w:rsidRDefault="00243F1D" w:rsidP="00243F1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453" w:type="dxa"/>
        <w:tblLook w:val="04A0" w:firstRow="1" w:lastRow="0" w:firstColumn="1" w:lastColumn="0" w:noHBand="0" w:noVBand="1"/>
      </w:tblPr>
      <w:tblGrid>
        <w:gridCol w:w="4253"/>
        <w:gridCol w:w="2518"/>
        <w:gridCol w:w="2443"/>
        <w:gridCol w:w="2410"/>
        <w:gridCol w:w="1829"/>
      </w:tblGrid>
      <w:tr w:rsidR="00243F1D" w:rsidRPr="006D1820" w:rsidTr="00182252">
        <w:trPr>
          <w:trHeight w:val="315"/>
        </w:trPr>
        <w:tc>
          <w:tcPr>
            <w:tcW w:w="9214" w:type="dxa"/>
            <w:gridSpan w:val="3"/>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243F1D">
              <w:rPr>
                <w:rFonts w:ascii="Calibri" w:eastAsia="Times New Roman" w:hAnsi="Calibri" w:cs="Times New Roman"/>
                <w:b/>
                <w:bCs/>
                <w:color w:val="FF0000"/>
                <w:sz w:val="20"/>
                <w:szCs w:val="20"/>
                <w:lang w:val="en-GB" w:eastAsia="en-GB"/>
              </w:rPr>
              <w:t>Other instruments</w:t>
            </w:r>
          </w:p>
        </w:tc>
        <w:tc>
          <w:tcPr>
            <w:tcW w:w="2410"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r>
      <w:tr w:rsidR="00243F1D" w:rsidRPr="0084197F" w:rsidTr="00182252">
        <w:trPr>
          <w:trHeight w:val="300"/>
        </w:trPr>
        <w:tc>
          <w:tcPr>
            <w:tcW w:w="4253"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r>
      <w:tr w:rsidR="00243F1D" w:rsidRPr="0084197F" w:rsidTr="00182252">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243F1D" w:rsidRPr="0084197F" w:rsidRDefault="00243F1D" w:rsidP="0018225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243F1D" w:rsidRPr="0084197F" w:rsidRDefault="00243F1D" w:rsidP="00182252">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243F1D" w:rsidRPr="0084197F" w:rsidTr="00182252">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43F1D" w:rsidRPr="0084197F" w:rsidTr="00F94697">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243F1D" w:rsidRPr="00025C9D" w:rsidRDefault="00243F1D" w:rsidP="00243F1D">
            <w:pPr>
              <w:spacing w:after="0" w:line="240" w:lineRule="auto"/>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F1D" w:rsidRPr="00025C9D" w:rsidRDefault="00243F1D" w:rsidP="00243F1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253400GHQM8WGX9UET22</w:t>
            </w:r>
          </w:p>
        </w:tc>
        <w:tc>
          <w:tcPr>
            <w:tcW w:w="2443"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c>
          <w:tcPr>
            <w:tcW w:w="2410"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c>
          <w:tcPr>
            <w:tcW w:w="1829"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r>
      <w:tr w:rsidR="00243F1D" w:rsidRPr="0084197F" w:rsidTr="00182252">
        <w:trPr>
          <w:trHeight w:val="300"/>
        </w:trPr>
        <w:tc>
          <w:tcPr>
            <w:tcW w:w="4253"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c>
          <w:tcPr>
            <w:tcW w:w="2518"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r>
      <w:tr w:rsidR="00243F1D" w:rsidRPr="0084197F" w:rsidTr="00182252">
        <w:trPr>
          <w:trHeight w:val="300"/>
        </w:trPr>
        <w:tc>
          <w:tcPr>
            <w:tcW w:w="4253"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243F1D" w:rsidRPr="0084197F" w:rsidRDefault="00243F1D" w:rsidP="00182252">
            <w:pPr>
              <w:spacing w:after="0" w:line="240" w:lineRule="auto"/>
              <w:rPr>
                <w:rFonts w:ascii="Times New Roman" w:eastAsia="Times New Roman" w:hAnsi="Times New Roman" w:cs="Times New Roman"/>
                <w:sz w:val="20"/>
                <w:szCs w:val="20"/>
                <w:lang w:val="en-GB" w:eastAsia="en-GB"/>
              </w:rPr>
            </w:pPr>
          </w:p>
        </w:tc>
      </w:tr>
      <w:tr w:rsidR="00243F1D" w:rsidRPr="0084197F" w:rsidTr="00182252">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243F1D" w:rsidRPr="0084197F" w:rsidRDefault="00243F1D" w:rsidP="0018225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243F1D" w:rsidRPr="0084197F" w:rsidRDefault="00243F1D" w:rsidP="00182252">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243F1D" w:rsidRPr="0084197F" w:rsidTr="00182252">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243F1D" w:rsidRPr="0084197F" w:rsidRDefault="00243F1D" w:rsidP="0018225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43F1D" w:rsidRPr="00243F1D" w:rsidTr="00243F1D">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bookmarkStart w:id="0" w:name="_GoBack" w:colFirst="0" w:colLast="4"/>
            <w:r w:rsidRPr="00243F1D">
              <w:rPr>
                <w:rFonts w:ascii="Calibri" w:eastAsia="Times New Roman" w:hAnsi="Calibri" w:cs="Calibri"/>
                <w:color w:val="000000"/>
                <w:sz w:val="20"/>
                <w:szCs w:val="20"/>
                <w:lang w:val="en-GB" w:eastAsia="en-GB"/>
              </w:rPr>
              <w:t>«IC VELES Capital» LLC</w:t>
            </w:r>
          </w:p>
        </w:tc>
        <w:tc>
          <w:tcPr>
            <w:tcW w:w="2518"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jc w:val="center"/>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253400GHQM8WGX9UET22</w:t>
            </w:r>
          </w:p>
        </w:tc>
        <w:tc>
          <w:tcPr>
            <w:tcW w:w="2443"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99.8406%</w:t>
            </w:r>
          </w:p>
        </w:tc>
        <w:tc>
          <w:tcPr>
            <w:tcW w:w="2410"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99.9965%</w:t>
            </w:r>
          </w:p>
        </w:tc>
        <w:tc>
          <w:tcPr>
            <w:tcW w:w="1829"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100.0000%</w:t>
            </w:r>
          </w:p>
        </w:tc>
      </w:tr>
      <w:tr w:rsidR="00243F1D" w:rsidRPr="00243F1D" w:rsidTr="00243F1D">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 xml:space="preserve">Central Counterparty National Clearing </w:t>
            </w:r>
            <w:proofErr w:type="spellStart"/>
            <w:r w:rsidRPr="00243F1D">
              <w:rPr>
                <w:rFonts w:ascii="Calibri" w:eastAsia="Times New Roman" w:hAnsi="Calibri" w:cs="Calibri"/>
                <w:color w:val="000000"/>
                <w:sz w:val="20"/>
                <w:szCs w:val="20"/>
                <w:lang w:val="en-GB" w:eastAsia="en-GB"/>
              </w:rPr>
              <w:t>Center</w:t>
            </w:r>
            <w:proofErr w:type="spellEnd"/>
          </w:p>
        </w:tc>
        <w:tc>
          <w:tcPr>
            <w:tcW w:w="2518"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jc w:val="center"/>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2534007UK6G30KDX1A47</w:t>
            </w:r>
          </w:p>
        </w:tc>
        <w:tc>
          <w:tcPr>
            <w:tcW w:w="2443"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0.1594%</w:t>
            </w:r>
          </w:p>
        </w:tc>
        <w:tc>
          <w:tcPr>
            <w:tcW w:w="2410"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0.0035%</w:t>
            </w:r>
          </w:p>
        </w:tc>
        <w:tc>
          <w:tcPr>
            <w:tcW w:w="1829" w:type="dxa"/>
            <w:tcBorders>
              <w:top w:val="nil"/>
              <w:left w:val="nil"/>
              <w:bottom w:val="single" w:sz="4" w:space="0" w:color="auto"/>
              <w:right w:val="single" w:sz="4" w:space="0" w:color="auto"/>
            </w:tcBorders>
            <w:shd w:val="clear" w:color="auto" w:fill="auto"/>
            <w:vAlign w:val="center"/>
            <w:hideMark/>
          </w:tcPr>
          <w:p w:rsidR="00243F1D" w:rsidRPr="00243F1D" w:rsidRDefault="00243F1D" w:rsidP="00243F1D">
            <w:pPr>
              <w:spacing w:after="0" w:line="240" w:lineRule="auto"/>
              <w:rPr>
                <w:rFonts w:ascii="Calibri" w:eastAsia="Times New Roman" w:hAnsi="Calibri" w:cs="Calibri"/>
                <w:color w:val="000000"/>
                <w:sz w:val="20"/>
                <w:szCs w:val="20"/>
                <w:lang w:val="en-GB" w:eastAsia="en-GB"/>
              </w:rPr>
            </w:pPr>
            <w:r w:rsidRPr="00243F1D">
              <w:rPr>
                <w:rFonts w:ascii="Calibri" w:eastAsia="Times New Roman" w:hAnsi="Calibri" w:cs="Calibri"/>
                <w:color w:val="000000"/>
                <w:sz w:val="20"/>
                <w:szCs w:val="20"/>
                <w:lang w:val="en-GB" w:eastAsia="en-GB"/>
              </w:rPr>
              <w:t>100.0000%</w:t>
            </w:r>
          </w:p>
        </w:tc>
      </w:tr>
      <w:bookmarkEnd w:id="0"/>
    </w:tbl>
    <w:p w:rsidR="0046599B" w:rsidRPr="0084197F" w:rsidRDefault="0046599B">
      <w:pPr>
        <w:rPr>
          <w:sz w:val="20"/>
          <w:szCs w:val="20"/>
        </w:rPr>
      </w:pPr>
    </w:p>
    <w:sectPr w:rsidR="0046599B" w:rsidRPr="0084197F" w:rsidSect="0084197F">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71" w:rsidRDefault="00286771" w:rsidP="00B80A4D">
      <w:pPr>
        <w:spacing w:after="0" w:line="240" w:lineRule="auto"/>
      </w:pPr>
      <w:r>
        <w:separator/>
      </w:r>
    </w:p>
  </w:endnote>
  <w:endnote w:type="continuationSeparator" w:id="0">
    <w:p w:rsidR="00286771" w:rsidRDefault="00286771" w:rsidP="00B8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71" w:rsidRDefault="00286771" w:rsidP="00B80A4D">
      <w:pPr>
        <w:spacing w:after="0" w:line="240" w:lineRule="auto"/>
      </w:pPr>
      <w:r>
        <w:separator/>
      </w:r>
    </w:p>
  </w:footnote>
  <w:footnote w:type="continuationSeparator" w:id="0">
    <w:p w:rsidR="00286771" w:rsidRDefault="00286771" w:rsidP="00B8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20" w:rsidRPr="001B6501" w:rsidRDefault="006D1820" w:rsidP="00B80A4D">
    <w:pPr>
      <w:pStyle w:val="Header"/>
      <w:jc w:val="right"/>
      <w:rPr>
        <w:sz w:val="36"/>
        <w:szCs w:val="36"/>
        <w:lang w:val="en-US"/>
      </w:rPr>
    </w:pPr>
    <w:r w:rsidRPr="001B6501">
      <w:rPr>
        <w:sz w:val="36"/>
        <w:szCs w:val="36"/>
        <w:lang w:val="en-US"/>
      </w:rPr>
      <w:t>Veles International Limited</w:t>
    </w:r>
  </w:p>
  <w:p w:rsidR="006D1820" w:rsidRDefault="006D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89"/>
    <w:rsid w:val="00003DD2"/>
    <w:rsid w:val="00025C9D"/>
    <w:rsid w:val="00103D60"/>
    <w:rsid w:val="00144011"/>
    <w:rsid w:val="00243F1D"/>
    <w:rsid w:val="002753B7"/>
    <w:rsid w:val="00286771"/>
    <w:rsid w:val="00381048"/>
    <w:rsid w:val="00397F7E"/>
    <w:rsid w:val="003D3557"/>
    <w:rsid w:val="003D74B4"/>
    <w:rsid w:val="0046599B"/>
    <w:rsid w:val="004E4438"/>
    <w:rsid w:val="005D20CF"/>
    <w:rsid w:val="006B20D0"/>
    <w:rsid w:val="006D1820"/>
    <w:rsid w:val="006D668F"/>
    <w:rsid w:val="00760C9A"/>
    <w:rsid w:val="00780E46"/>
    <w:rsid w:val="00821BCB"/>
    <w:rsid w:val="0084197F"/>
    <w:rsid w:val="00847700"/>
    <w:rsid w:val="008C143B"/>
    <w:rsid w:val="008C56EE"/>
    <w:rsid w:val="008D234C"/>
    <w:rsid w:val="00906FC3"/>
    <w:rsid w:val="00A13889"/>
    <w:rsid w:val="00A5144A"/>
    <w:rsid w:val="00AB11C4"/>
    <w:rsid w:val="00AC131A"/>
    <w:rsid w:val="00B40C8C"/>
    <w:rsid w:val="00B6508B"/>
    <w:rsid w:val="00B802F9"/>
    <w:rsid w:val="00B80A4D"/>
    <w:rsid w:val="00BE02A1"/>
    <w:rsid w:val="00D21C8A"/>
    <w:rsid w:val="00D7096C"/>
    <w:rsid w:val="00EE795E"/>
    <w:rsid w:val="00E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962D"/>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B80A4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0A4D"/>
  </w:style>
  <w:style w:type="paragraph" w:styleId="Footer">
    <w:name w:val="footer"/>
    <w:basedOn w:val="Normal"/>
    <w:link w:val="FooterChar"/>
    <w:uiPriority w:val="99"/>
    <w:unhideWhenUsed/>
    <w:rsid w:val="00B80A4D"/>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0A4D"/>
  </w:style>
  <w:style w:type="paragraph" w:styleId="BalloonText">
    <w:name w:val="Balloon Text"/>
    <w:basedOn w:val="Normal"/>
    <w:link w:val="BalloonTextChar"/>
    <w:uiPriority w:val="99"/>
    <w:semiHidden/>
    <w:unhideWhenUsed/>
    <w:rsid w:val="0039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635">
      <w:bodyDiv w:val="1"/>
      <w:marLeft w:val="0"/>
      <w:marRight w:val="0"/>
      <w:marTop w:val="0"/>
      <w:marBottom w:val="0"/>
      <w:divBdr>
        <w:top w:val="none" w:sz="0" w:space="0" w:color="auto"/>
        <w:left w:val="none" w:sz="0" w:space="0" w:color="auto"/>
        <w:bottom w:val="none" w:sz="0" w:space="0" w:color="auto"/>
        <w:right w:val="none" w:sz="0" w:space="0" w:color="auto"/>
      </w:divBdr>
    </w:div>
    <w:div w:id="554437609">
      <w:bodyDiv w:val="1"/>
      <w:marLeft w:val="0"/>
      <w:marRight w:val="0"/>
      <w:marTop w:val="0"/>
      <w:marBottom w:val="0"/>
      <w:divBdr>
        <w:top w:val="none" w:sz="0" w:space="0" w:color="auto"/>
        <w:left w:val="none" w:sz="0" w:space="0" w:color="auto"/>
        <w:bottom w:val="none" w:sz="0" w:space="0" w:color="auto"/>
        <w:right w:val="none" w:sz="0" w:space="0" w:color="auto"/>
      </w:divBdr>
      <w:divsChild>
        <w:div w:id="1949389687">
          <w:marLeft w:val="0"/>
          <w:marRight w:val="0"/>
          <w:marTop w:val="0"/>
          <w:marBottom w:val="0"/>
          <w:divBdr>
            <w:top w:val="none" w:sz="0" w:space="0" w:color="auto"/>
            <w:left w:val="none" w:sz="0" w:space="0" w:color="auto"/>
            <w:bottom w:val="none" w:sz="0" w:space="0" w:color="auto"/>
            <w:right w:val="none" w:sz="0" w:space="0" w:color="auto"/>
          </w:divBdr>
          <w:divsChild>
            <w:div w:id="165290600">
              <w:marLeft w:val="0"/>
              <w:marRight w:val="0"/>
              <w:marTop w:val="0"/>
              <w:marBottom w:val="0"/>
              <w:divBdr>
                <w:top w:val="none" w:sz="0" w:space="0" w:color="auto"/>
                <w:left w:val="none" w:sz="0" w:space="0" w:color="auto"/>
                <w:bottom w:val="none" w:sz="0" w:space="0" w:color="auto"/>
                <w:right w:val="none" w:sz="0" w:space="0" w:color="auto"/>
              </w:divBdr>
              <w:divsChild>
                <w:div w:id="1488476994">
                  <w:marLeft w:val="0"/>
                  <w:marRight w:val="0"/>
                  <w:marTop w:val="0"/>
                  <w:marBottom w:val="0"/>
                  <w:divBdr>
                    <w:top w:val="none" w:sz="0" w:space="0" w:color="auto"/>
                    <w:left w:val="none" w:sz="0" w:space="0" w:color="auto"/>
                    <w:bottom w:val="none" w:sz="0" w:space="0" w:color="auto"/>
                    <w:right w:val="none" w:sz="0" w:space="0" w:color="auto"/>
                  </w:divBdr>
                  <w:divsChild>
                    <w:div w:id="505629230">
                      <w:marLeft w:val="0"/>
                      <w:marRight w:val="0"/>
                      <w:marTop w:val="0"/>
                      <w:marBottom w:val="0"/>
                      <w:divBdr>
                        <w:top w:val="none" w:sz="0" w:space="0" w:color="auto"/>
                        <w:left w:val="none" w:sz="0" w:space="0" w:color="auto"/>
                        <w:bottom w:val="none" w:sz="0" w:space="0" w:color="auto"/>
                        <w:right w:val="none" w:sz="0" w:space="0" w:color="auto"/>
                      </w:divBdr>
                      <w:divsChild>
                        <w:div w:id="1064448648">
                          <w:marLeft w:val="0"/>
                          <w:marRight w:val="0"/>
                          <w:marTop w:val="0"/>
                          <w:marBottom w:val="0"/>
                          <w:divBdr>
                            <w:top w:val="none" w:sz="0" w:space="0" w:color="auto"/>
                            <w:left w:val="none" w:sz="0" w:space="0" w:color="auto"/>
                            <w:bottom w:val="none" w:sz="0" w:space="0" w:color="auto"/>
                            <w:right w:val="none" w:sz="0" w:space="0" w:color="auto"/>
                          </w:divBdr>
                          <w:divsChild>
                            <w:div w:id="1927373739">
                              <w:marLeft w:val="0"/>
                              <w:marRight w:val="0"/>
                              <w:marTop w:val="0"/>
                              <w:marBottom w:val="0"/>
                              <w:divBdr>
                                <w:top w:val="none" w:sz="0" w:space="0" w:color="auto"/>
                                <w:left w:val="none" w:sz="0" w:space="0" w:color="auto"/>
                                <w:bottom w:val="none" w:sz="0" w:space="0" w:color="auto"/>
                                <w:right w:val="none" w:sz="0" w:space="0" w:color="auto"/>
                              </w:divBdr>
                              <w:divsChild>
                                <w:div w:id="623268879">
                                  <w:marLeft w:val="0"/>
                                  <w:marRight w:val="0"/>
                                  <w:marTop w:val="0"/>
                                  <w:marBottom w:val="0"/>
                                  <w:divBdr>
                                    <w:top w:val="none" w:sz="0" w:space="0" w:color="auto"/>
                                    <w:left w:val="none" w:sz="0" w:space="0" w:color="auto"/>
                                    <w:bottom w:val="none" w:sz="0" w:space="0" w:color="auto"/>
                                    <w:right w:val="none" w:sz="0" w:space="0" w:color="auto"/>
                                  </w:divBdr>
                                  <w:divsChild>
                                    <w:div w:id="890657733">
                                      <w:marLeft w:val="0"/>
                                      <w:marRight w:val="0"/>
                                      <w:marTop w:val="0"/>
                                      <w:marBottom w:val="0"/>
                                      <w:divBdr>
                                        <w:top w:val="none" w:sz="0" w:space="0" w:color="auto"/>
                                        <w:left w:val="none" w:sz="0" w:space="0" w:color="auto"/>
                                        <w:bottom w:val="none" w:sz="0" w:space="0" w:color="auto"/>
                                        <w:right w:val="none" w:sz="0" w:space="0" w:color="auto"/>
                                      </w:divBdr>
                                      <w:divsChild>
                                        <w:div w:id="422459097">
                                          <w:marLeft w:val="0"/>
                                          <w:marRight w:val="0"/>
                                          <w:marTop w:val="0"/>
                                          <w:marBottom w:val="0"/>
                                          <w:divBdr>
                                            <w:top w:val="none" w:sz="0" w:space="0" w:color="auto"/>
                                            <w:left w:val="none" w:sz="0" w:space="0" w:color="auto"/>
                                            <w:bottom w:val="none" w:sz="0" w:space="0" w:color="auto"/>
                                            <w:right w:val="none" w:sz="0" w:space="0" w:color="auto"/>
                                          </w:divBdr>
                                          <w:divsChild>
                                            <w:div w:id="1827476188">
                                              <w:marLeft w:val="0"/>
                                              <w:marRight w:val="0"/>
                                              <w:marTop w:val="0"/>
                                              <w:marBottom w:val="0"/>
                                              <w:divBdr>
                                                <w:top w:val="none" w:sz="0" w:space="0" w:color="auto"/>
                                                <w:left w:val="none" w:sz="0" w:space="0" w:color="auto"/>
                                                <w:bottom w:val="none" w:sz="0" w:space="0" w:color="auto"/>
                                                <w:right w:val="none" w:sz="0" w:space="0" w:color="auto"/>
                                              </w:divBdr>
                                              <w:divsChild>
                                                <w:div w:id="202787474">
                                                  <w:marLeft w:val="0"/>
                                                  <w:marRight w:val="0"/>
                                                  <w:marTop w:val="0"/>
                                                  <w:marBottom w:val="0"/>
                                                  <w:divBdr>
                                                    <w:top w:val="none" w:sz="0" w:space="0" w:color="auto"/>
                                                    <w:left w:val="none" w:sz="0" w:space="0" w:color="auto"/>
                                                    <w:bottom w:val="none" w:sz="0" w:space="0" w:color="auto"/>
                                                    <w:right w:val="none" w:sz="0" w:space="0" w:color="auto"/>
                                                  </w:divBdr>
                                                  <w:divsChild>
                                                    <w:div w:id="1708749449">
                                                      <w:marLeft w:val="0"/>
                                                      <w:marRight w:val="0"/>
                                                      <w:marTop w:val="0"/>
                                                      <w:marBottom w:val="0"/>
                                                      <w:divBdr>
                                                        <w:top w:val="none" w:sz="0" w:space="0" w:color="auto"/>
                                                        <w:left w:val="none" w:sz="0" w:space="0" w:color="auto"/>
                                                        <w:bottom w:val="none" w:sz="0" w:space="0" w:color="auto"/>
                                                        <w:right w:val="none" w:sz="0" w:space="0" w:color="auto"/>
                                                      </w:divBdr>
                                                      <w:divsChild>
                                                        <w:div w:id="958684102">
                                                          <w:marLeft w:val="0"/>
                                                          <w:marRight w:val="0"/>
                                                          <w:marTop w:val="0"/>
                                                          <w:marBottom w:val="0"/>
                                                          <w:divBdr>
                                                            <w:top w:val="none" w:sz="0" w:space="0" w:color="auto"/>
                                                            <w:left w:val="none" w:sz="0" w:space="0" w:color="auto"/>
                                                            <w:bottom w:val="none" w:sz="0" w:space="0" w:color="auto"/>
                                                            <w:right w:val="none" w:sz="0" w:space="0" w:color="auto"/>
                                                          </w:divBdr>
                                                          <w:divsChild>
                                                            <w:div w:id="1515923200">
                                                              <w:marLeft w:val="0"/>
                                                              <w:marRight w:val="0"/>
                                                              <w:marTop w:val="0"/>
                                                              <w:marBottom w:val="0"/>
                                                              <w:divBdr>
                                                                <w:top w:val="none" w:sz="0" w:space="0" w:color="auto"/>
                                                                <w:left w:val="none" w:sz="0" w:space="0" w:color="auto"/>
                                                                <w:bottom w:val="none" w:sz="0" w:space="0" w:color="auto"/>
                                                                <w:right w:val="none" w:sz="0" w:space="0" w:color="auto"/>
                                                              </w:divBdr>
                                                              <w:divsChild>
                                                                <w:div w:id="458062902">
                                                                  <w:marLeft w:val="0"/>
                                                                  <w:marRight w:val="0"/>
                                                                  <w:marTop w:val="0"/>
                                                                  <w:marBottom w:val="0"/>
                                                                  <w:divBdr>
                                                                    <w:top w:val="none" w:sz="0" w:space="0" w:color="auto"/>
                                                                    <w:left w:val="none" w:sz="0" w:space="0" w:color="auto"/>
                                                                    <w:bottom w:val="none" w:sz="0" w:space="0" w:color="auto"/>
                                                                    <w:right w:val="none" w:sz="0" w:space="0" w:color="auto"/>
                                                                  </w:divBdr>
                                                                  <w:divsChild>
                                                                    <w:div w:id="1687365338">
                                                                      <w:marLeft w:val="0"/>
                                                                      <w:marRight w:val="0"/>
                                                                      <w:marTop w:val="0"/>
                                                                      <w:marBottom w:val="0"/>
                                                                      <w:divBdr>
                                                                        <w:top w:val="none" w:sz="0" w:space="0" w:color="auto"/>
                                                                        <w:left w:val="none" w:sz="0" w:space="0" w:color="auto"/>
                                                                        <w:bottom w:val="none" w:sz="0" w:space="0" w:color="auto"/>
                                                                        <w:right w:val="none" w:sz="0" w:space="0" w:color="auto"/>
                                                                      </w:divBdr>
                                                                      <w:divsChild>
                                                                        <w:div w:id="508326319">
                                                                          <w:marLeft w:val="0"/>
                                                                          <w:marRight w:val="0"/>
                                                                          <w:marTop w:val="0"/>
                                                                          <w:marBottom w:val="0"/>
                                                                          <w:divBdr>
                                                                            <w:top w:val="none" w:sz="0" w:space="0" w:color="auto"/>
                                                                            <w:left w:val="none" w:sz="0" w:space="0" w:color="auto"/>
                                                                            <w:bottom w:val="none" w:sz="0" w:space="0" w:color="auto"/>
                                                                            <w:right w:val="none" w:sz="0" w:space="0" w:color="auto"/>
                                                                          </w:divBdr>
                                                                          <w:divsChild>
                                                                            <w:div w:id="1618951703">
                                                                              <w:marLeft w:val="0"/>
                                                                              <w:marRight w:val="0"/>
                                                                              <w:marTop w:val="0"/>
                                                                              <w:marBottom w:val="0"/>
                                                                              <w:divBdr>
                                                                                <w:top w:val="none" w:sz="0" w:space="0" w:color="auto"/>
                                                                                <w:left w:val="none" w:sz="0" w:space="0" w:color="auto"/>
                                                                                <w:bottom w:val="none" w:sz="0" w:space="0" w:color="auto"/>
                                                                                <w:right w:val="none" w:sz="0" w:space="0" w:color="auto"/>
                                                                              </w:divBdr>
                                                                              <w:divsChild>
                                                                                <w:div w:id="515507123">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592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94596">
      <w:bodyDiv w:val="1"/>
      <w:marLeft w:val="0"/>
      <w:marRight w:val="0"/>
      <w:marTop w:val="0"/>
      <w:marBottom w:val="0"/>
      <w:divBdr>
        <w:top w:val="none" w:sz="0" w:space="0" w:color="auto"/>
        <w:left w:val="none" w:sz="0" w:space="0" w:color="auto"/>
        <w:bottom w:val="none" w:sz="0" w:space="0" w:color="auto"/>
        <w:right w:val="none" w:sz="0" w:space="0" w:color="auto"/>
      </w:divBdr>
      <w:divsChild>
        <w:div w:id="193660574">
          <w:marLeft w:val="0"/>
          <w:marRight w:val="0"/>
          <w:marTop w:val="0"/>
          <w:marBottom w:val="0"/>
          <w:divBdr>
            <w:top w:val="none" w:sz="0" w:space="0" w:color="auto"/>
            <w:left w:val="none" w:sz="0" w:space="0" w:color="auto"/>
            <w:bottom w:val="none" w:sz="0" w:space="0" w:color="auto"/>
            <w:right w:val="none" w:sz="0" w:space="0" w:color="auto"/>
          </w:divBdr>
          <w:divsChild>
            <w:div w:id="1687439729">
              <w:marLeft w:val="0"/>
              <w:marRight w:val="0"/>
              <w:marTop w:val="0"/>
              <w:marBottom w:val="0"/>
              <w:divBdr>
                <w:top w:val="none" w:sz="0" w:space="0" w:color="auto"/>
                <w:left w:val="none" w:sz="0" w:space="0" w:color="auto"/>
                <w:bottom w:val="none" w:sz="0" w:space="0" w:color="auto"/>
                <w:right w:val="none" w:sz="0" w:space="0" w:color="auto"/>
              </w:divBdr>
              <w:divsChild>
                <w:div w:id="2005161676">
                  <w:marLeft w:val="0"/>
                  <w:marRight w:val="0"/>
                  <w:marTop w:val="0"/>
                  <w:marBottom w:val="0"/>
                  <w:divBdr>
                    <w:top w:val="none" w:sz="0" w:space="0" w:color="auto"/>
                    <w:left w:val="none" w:sz="0" w:space="0" w:color="auto"/>
                    <w:bottom w:val="none" w:sz="0" w:space="0" w:color="auto"/>
                    <w:right w:val="none" w:sz="0" w:space="0" w:color="auto"/>
                  </w:divBdr>
                  <w:divsChild>
                    <w:div w:id="296959053">
                      <w:marLeft w:val="0"/>
                      <w:marRight w:val="0"/>
                      <w:marTop w:val="0"/>
                      <w:marBottom w:val="0"/>
                      <w:divBdr>
                        <w:top w:val="none" w:sz="0" w:space="0" w:color="auto"/>
                        <w:left w:val="none" w:sz="0" w:space="0" w:color="auto"/>
                        <w:bottom w:val="none" w:sz="0" w:space="0" w:color="auto"/>
                        <w:right w:val="none" w:sz="0" w:space="0" w:color="auto"/>
                      </w:divBdr>
                      <w:divsChild>
                        <w:div w:id="2976809">
                          <w:marLeft w:val="0"/>
                          <w:marRight w:val="0"/>
                          <w:marTop w:val="0"/>
                          <w:marBottom w:val="0"/>
                          <w:divBdr>
                            <w:top w:val="none" w:sz="0" w:space="0" w:color="auto"/>
                            <w:left w:val="none" w:sz="0" w:space="0" w:color="auto"/>
                            <w:bottom w:val="none" w:sz="0" w:space="0" w:color="auto"/>
                            <w:right w:val="none" w:sz="0" w:space="0" w:color="auto"/>
                          </w:divBdr>
                          <w:divsChild>
                            <w:div w:id="16585512">
                              <w:marLeft w:val="0"/>
                              <w:marRight w:val="0"/>
                              <w:marTop w:val="0"/>
                              <w:marBottom w:val="0"/>
                              <w:divBdr>
                                <w:top w:val="none" w:sz="0" w:space="0" w:color="auto"/>
                                <w:left w:val="none" w:sz="0" w:space="0" w:color="auto"/>
                                <w:bottom w:val="none" w:sz="0" w:space="0" w:color="auto"/>
                                <w:right w:val="none" w:sz="0" w:space="0" w:color="auto"/>
                              </w:divBdr>
                              <w:divsChild>
                                <w:div w:id="1915313572">
                                  <w:marLeft w:val="0"/>
                                  <w:marRight w:val="0"/>
                                  <w:marTop w:val="0"/>
                                  <w:marBottom w:val="0"/>
                                  <w:divBdr>
                                    <w:top w:val="none" w:sz="0" w:space="0" w:color="auto"/>
                                    <w:left w:val="none" w:sz="0" w:space="0" w:color="auto"/>
                                    <w:bottom w:val="none" w:sz="0" w:space="0" w:color="auto"/>
                                    <w:right w:val="none" w:sz="0" w:space="0" w:color="auto"/>
                                  </w:divBdr>
                                  <w:divsChild>
                                    <w:div w:id="1018967891">
                                      <w:marLeft w:val="0"/>
                                      <w:marRight w:val="0"/>
                                      <w:marTop w:val="0"/>
                                      <w:marBottom w:val="0"/>
                                      <w:divBdr>
                                        <w:top w:val="none" w:sz="0" w:space="0" w:color="auto"/>
                                        <w:left w:val="none" w:sz="0" w:space="0" w:color="auto"/>
                                        <w:bottom w:val="none" w:sz="0" w:space="0" w:color="auto"/>
                                        <w:right w:val="none" w:sz="0" w:space="0" w:color="auto"/>
                                      </w:divBdr>
                                      <w:divsChild>
                                        <w:div w:id="228998637">
                                          <w:marLeft w:val="0"/>
                                          <w:marRight w:val="0"/>
                                          <w:marTop w:val="0"/>
                                          <w:marBottom w:val="0"/>
                                          <w:divBdr>
                                            <w:top w:val="none" w:sz="0" w:space="0" w:color="auto"/>
                                            <w:left w:val="none" w:sz="0" w:space="0" w:color="auto"/>
                                            <w:bottom w:val="none" w:sz="0" w:space="0" w:color="auto"/>
                                            <w:right w:val="none" w:sz="0" w:space="0" w:color="auto"/>
                                          </w:divBdr>
                                          <w:divsChild>
                                            <w:div w:id="864710614">
                                              <w:marLeft w:val="0"/>
                                              <w:marRight w:val="0"/>
                                              <w:marTop w:val="0"/>
                                              <w:marBottom w:val="0"/>
                                              <w:divBdr>
                                                <w:top w:val="none" w:sz="0" w:space="0" w:color="auto"/>
                                                <w:left w:val="none" w:sz="0" w:space="0" w:color="auto"/>
                                                <w:bottom w:val="none" w:sz="0" w:space="0" w:color="auto"/>
                                                <w:right w:val="none" w:sz="0" w:space="0" w:color="auto"/>
                                              </w:divBdr>
                                              <w:divsChild>
                                                <w:div w:id="1347319751">
                                                  <w:marLeft w:val="0"/>
                                                  <w:marRight w:val="0"/>
                                                  <w:marTop w:val="0"/>
                                                  <w:marBottom w:val="0"/>
                                                  <w:divBdr>
                                                    <w:top w:val="none" w:sz="0" w:space="0" w:color="auto"/>
                                                    <w:left w:val="none" w:sz="0" w:space="0" w:color="auto"/>
                                                    <w:bottom w:val="none" w:sz="0" w:space="0" w:color="auto"/>
                                                    <w:right w:val="none" w:sz="0" w:space="0" w:color="auto"/>
                                                  </w:divBdr>
                                                  <w:divsChild>
                                                    <w:div w:id="670060258">
                                                      <w:marLeft w:val="0"/>
                                                      <w:marRight w:val="0"/>
                                                      <w:marTop w:val="0"/>
                                                      <w:marBottom w:val="0"/>
                                                      <w:divBdr>
                                                        <w:top w:val="none" w:sz="0" w:space="0" w:color="auto"/>
                                                        <w:left w:val="none" w:sz="0" w:space="0" w:color="auto"/>
                                                        <w:bottom w:val="none" w:sz="0" w:space="0" w:color="auto"/>
                                                        <w:right w:val="none" w:sz="0" w:space="0" w:color="auto"/>
                                                      </w:divBdr>
                                                      <w:divsChild>
                                                        <w:div w:id="765805740">
                                                          <w:marLeft w:val="0"/>
                                                          <w:marRight w:val="0"/>
                                                          <w:marTop w:val="0"/>
                                                          <w:marBottom w:val="0"/>
                                                          <w:divBdr>
                                                            <w:top w:val="none" w:sz="0" w:space="0" w:color="auto"/>
                                                            <w:left w:val="none" w:sz="0" w:space="0" w:color="auto"/>
                                                            <w:bottom w:val="none" w:sz="0" w:space="0" w:color="auto"/>
                                                            <w:right w:val="none" w:sz="0" w:space="0" w:color="auto"/>
                                                          </w:divBdr>
                                                          <w:divsChild>
                                                            <w:div w:id="242417665">
                                                              <w:marLeft w:val="0"/>
                                                              <w:marRight w:val="0"/>
                                                              <w:marTop w:val="0"/>
                                                              <w:marBottom w:val="0"/>
                                                              <w:divBdr>
                                                                <w:top w:val="none" w:sz="0" w:space="0" w:color="auto"/>
                                                                <w:left w:val="none" w:sz="0" w:space="0" w:color="auto"/>
                                                                <w:bottom w:val="none" w:sz="0" w:space="0" w:color="auto"/>
                                                                <w:right w:val="none" w:sz="0" w:space="0" w:color="auto"/>
                                                              </w:divBdr>
                                                              <w:divsChild>
                                                                <w:div w:id="827133947">
                                                                  <w:marLeft w:val="0"/>
                                                                  <w:marRight w:val="0"/>
                                                                  <w:marTop w:val="0"/>
                                                                  <w:marBottom w:val="0"/>
                                                                  <w:divBdr>
                                                                    <w:top w:val="none" w:sz="0" w:space="0" w:color="auto"/>
                                                                    <w:left w:val="none" w:sz="0" w:space="0" w:color="auto"/>
                                                                    <w:bottom w:val="none" w:sz="0" w:space="0" w:color="auto"/>
                                                                    <w:right w:val="none" w:sz="0" w:space="0" w:color="auto"/>
                                                                  </w:divBdr>
                                                                  <w:divsChild>
                                                                    <w:div w:id="1538812550">
                                                                      <w:marLeft w:val="0"/>
                                                                      <w:marRight w:val="0"/>
                                                                      <w:marTop w:val="0"/>
                                                                      <w:marBottom w:val="0"/>
                                                                      <w:divBdr>
                                                                        <w:top w:val="none" w:sz="0" w:space="0" w:color="auto"/>
                                                                        <w:left w:val="none" w:sz="0" w:space="0" w:color="auto"/>
                                                                        <w:bottom w:val="none" w:sz="0" w:space="0" w:color="auto"/>
                                                                        <w:right w:val="none" w:sz="0" w:space="0" w:color="auto"/>
                                                                      </w:divBdr>
                                                                      <w:divsChild>
                                                                        <w:div w:id="857622732">
                                                                          <w:marLeft w:val="0"/>
                                                                          <w:marRight w:val="0"/>
                                                                          <w:marTop w:val="0"/>
                                                                          <w:marBottom w:val="0"/>
                                                                          <w:divBdr>
                                                                            <w:top w:val="none" w:sz="0" w:space="0" w:color="auto"/>
                                                                            <w:left w:val="none" w:sz="0" w:space="0" w:color="auto"/>
                                                                            <w:bottom w:val="none" w:sz="0" w:space="0" w:color="auto"/>
                                                                            <w:right w:val="none" w:sz="0" w:space="0" w:color="auto"/>
                                                                          </w:divBdr>
                                                                          <w:divsChild>
                                                                            <w:div w:id="1539585182">
                                                                              <w:marLeft w:val="0"/>
                                                                              <w:marRight w:val="0"/>
                                                                              <w:marTop w:val="0"/>
                                                                              <w:marBottom w:val="0"/>
                                                                              <w:divBdr>
                                                                                <w:top w:val="none" w:sz="0" w:space="0" w:color="auto"/>
                                                                                <w:left w:val="none" w:sz="0" w:space="0" w:color="auto"/>
                                                                                <w:bottom w:val="none" w:sz="0" w:space="0" w:color="auto"/>
                                                                                <w:right w:val="none" w:sz="0" w:space="0" w:color="auto"/>
                                                                              </w:divBdr>
                                                                              <w:divsChild>
                                                                                <w:div w:id="336427362">
                                                                                  <w:marLeft w:val="0"/>
                                                                                  <w:marRight w:val="0"/>
                                                                                  <w:marTop w:val="0"/>
                                                                                  <w:marBottom w:val="0"/>
                                                                                  <w:divBdr>
                                                                                    <w:top w:val="none" w:sz="0" w:space="0" w:color="auto"/>
                                                                                    <w:left w:val="none" w:sz="0" w:space="0" w:color="auto"/>
                                                                                    <w:bottom w:val="none" w:sz="0" w:space="0" w:color="auto"/>
                                                                                    <w:right w:val="none" w:sz="0" w:space="0" w:color="auto"/>
                                                                                  </w:divBdr>
                                                                                  <w:divsChild>
                                                                                    <w:div w:id="474689296">
                                                                                      <w:marLeft w:val="0"/>
                                                                                      <w:marRight w:val="0"/>
                                                                                      <w:marTop w:val="0"/>
                                                                                      <w:marBottom w:val="0"/>
                                                                                      <w:divBdr>
                                                                                        <w:top w:val="none" w:sz="0" w:space="0" w:color="auto"/>
                                                                                        <w:left w:val="none" w:sz="0" w:space="0" w:color="auto"/>
                                                                                        <w:bottom w:val="none" w:sz="0" w:space="0" w:color="auto"/>
                                                                                        <w:right w:val="none" w:sz="0" w:space="0" w:color="auto"/>
                                                                                      </w:divBdr>
                                                                                      <w:divsChild>
                                                                                        <w:div w:id="18761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es-international.com/en/Services/Regulations" TargetMode="External"/><Relationship Id="rId3" Type="http://schemas.openxmlformats.org/officeDocument/2006/relationships/settings" Target="settings.xml"/><Relationship Id="rId7" Type="http://schemas.openxmlformats.org/officeDocument/2006/relationships/hyperlink" Target="http://veles-international.com/en/Services/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les-international.com/en/Services/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2944</Words>
  <Characters>16786</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Michalis Michael</cp:lastModifiedBy>
  <cp:revision>4</cp:revision>
  <cp:lastPrinted>2018-12-29T15:18:00Z</cp:lastPrinted>
  <dcterms:created xsi:type="dcterms:W3CDTF">2019-04-30T10:51:00Z</dcterms:created>
  <dcterms:modified xsi:type="dcterms:W3CDTF">2019-05-02T06:47:00Z</dcterms:modified>
</cp:coreProperties>
</file>